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007/2026</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002/2026</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002/2026</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olor w:val="000000"/>
                <w:sz w:val="22"/>
                <w:szCs w:val="22"/>
                <w:lang w:val="pt-BR"/>
              </w:rPr>
              <w:t>Maior desconto por item sobre a Tabela CMED/Anvisa no PMVG (Preço máximo de venda ao governo)</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25/02/2026</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hint="default" w:ascii="Arial" w:hAnsi="Arial"/>
                <w:color w:val="000000"/>
              </w:rPr>
              <w:t>Registrar preços para futura e eventual contratação de empresa especializada em fornecimento de medicamentos de A à Z</w:t>
            </w:r>
            <w:r>
              <w:rPr>
                <w:rFonts w:hint="default" w:ascii="Arial" w:hAnsi="Arial"/>
                <w:color w:val="000000"/>
                <w:lang w:val="pt-BR"/>
              </w:rPr>
              <w:t>,</w:t>
            </w:r>
            <w:r>
              <w:rPr>
                <w:rFonts w:hint="default" w:ascii="Arial" w:hAnsi="Arial"/>
                <w:color w:val="000000"/>
              </w:rPr>
              <w:t xml:space="preserve"> classificados como </w:t>
            </w:r>
            <w:r>
              <w:rPr>
                <w:rFonts w:hint="default" w:ascii="Arial" w:hAnsi="Arial"/>
                <w:color w:val="000000"/>
                <w:lang w:val="pt-BR"/>
              </w:rPr>
              <w:t>r</w:t>
            </w:r>
            <w:r>
              <w:rPr>
                <w:rFonts w:hint="default" w:ascii="Arial" w:hAnsi="Arial"/>
                <w:color w:val="000000"/>
              </w:rPr>
              <w:t>eferência (</w:t>
            </w:r>
            <w:r>
              <w:rPr>
                <w:rFonts w:hint="default" w:ascii="Arial" w:hAnsi="Arial"/>
                <w:color w:val="000000"/>
                <w:lang w:val="pt-BR"/>
              </w:rPr>
              <w:t>é</w:t>
            </w:r>
            <w:r>
              <w:rPr>
                <w:rFonts w:hint="default" w:ascii="Arial" w:hAnsi="Arial"/>
                <w:color w:val="000000"/>
              </w:rPr>
              <w:t xml:space="preserve">ticos e </w:t>
            </w:r>
            <w:r>
              <w:rPr>
                <w:rFonts w:hint="default" w:ascii="Arial" w:hAnsi="Arial"/>
                <w:color w:val="000000"/>
                <w:lang w:val="pt-BR"/>
              </w:rPr>
              <w:t>b</w:t>
            </w:r>
            <w:r>
              <w:rPr>
                <w:rFonts w:hint="default" w:ascii="Arial" w:hAnsi="Arial"/>
                <w:color w:val="000000"/>
              </w:rPr>
              <w:t>iológicos), genéricos e similares, contidos na tabela CMED/ANVISA para atender às demandas da Secretaria Municipal de Saúde de Cataguases-MG.</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R$ 390.000,00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2A5471C">
      <w:pPr>
        <w:jc w:val="center"/>
        <w:rPr>
          <w:rFonts w:ascii="Arial" w:hAnsi="Arial" w:cs="Arial"/>
          <w:sz w:val="20"/>
        </w:rPr>
      </w:pPr>
    </w:p>
    <w:p w14:paraId="0EDB9192">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002/2026</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007/2026</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25/02/2026</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007/2026</w:t>
      </w:r>
      <w:r>
        <w:rPr>
          <w:rFonts w:hint="default" w:ascii="Arial" w:hAnsi="Arial" w:cs="Arial"/>
          <w:sz w:val="18"/>
          <w:szCs w:val="18"/>
        </w:rPr>
        <w:t xml:space="preserve"> para Sistema de Registro de Preços n° </w:t>
      </w:r>
      <w:r>
        <w:rPr>
          <w:rFonts w:hint="default" w:ascii="Arial" w:hAnsi="Arial" w:cs="Arial"/>
          <w:sz w:val="18"/>
          <w:szCs w:val="18"/>
          <w:lang w:val="pt-BR"/>
        </w:rPr>
        <w:t>002/2026</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002/2026</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maior percentual de desconto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medicamentos de A à Z, classificados como referência (éticos e biológicos), genéricos e similares, contidos na tabela CMED/ANVISA para atender às demandas da Secretaria Municipal de Saúde de Cataguases-MG</w:t>
      </w:r>
      <w:r>
        <w:rPr>
          <w:rFonts w:hint="default" w:ascii="Arial" w:hAnsi="Arial" w:cs="Arial"/>
          <w:b w:val="0"/>
          <w:bCs w:val="0"/>
          <w:color w:val="000000"/>
          <w:sz w:val="18"/>
          <w:szCs w:val="18"/>
        </w:rPr>
        <w:t>,</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medicamentos de A à Z, classificados como referência (éticos e biológicos), genéricos e similares, contidos na tabela CMED/ANVISA para atender às demandas da Secretaria Municipal de Saúde de Cataguases-MG</w:t>
      </w:r>
      <w:r>
        <w:rPr>
          <w:rFonts w:hint="default" w:ascii="Arial" w:hAnsi="Arial" w:cs="Arial"/>
          <w:b w:val="0"/>
          <w:bCs/>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maior percentual de desconto por item </w:t>
      </w:r>
      <w:r>
        <w:rPr>
          <w:rFonts w:hint="default" w:ascii="Arial" w:hAnsi="Arial" w:cs="Arial"/>
          <w:color w:val="000000"/>
          <w:sz w:val="18"/>
          <w:szCs w:val="18"/>
          <w:lang w:val="pt-BR"/>
        </w:rPr>
        <w:t>sobre a Tabela CMED/Anvisa no PMVG (Preço máximo de venda ao governo)</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p w14:paraId="4ACBB754">
      <w:pPr>
        <w:spacing w:line="360" w:lineRule="auto"/>
        <w:jc w:val="both"/>
        <w:rPr>
          <w:rFonts w:hint="default" w:ascii="Arial" w:hAnsi="Arial"/>
          <w:b w:val="0"/>
          <w:bCs w:val="0"/>
          <w:sz w:val="18"/>
          <w:szCs w:val="18"/>
          <w:lang w:eastAsia="ar-SA"/>
        </w:rPr>
      </w:pPr>
      <w:r>
        <w:rPr>
          <w:rFonts w:hint="default" w:ascii="Arial" w:hAnsi="Arial"/>
          <w:b w:val="0"/>
          <w:bCs w:val="0"/>
          <w:sz w:val="18"/>
          <w:szCs w:val="18"/>
          <w:lang w:eastAsia="ar-SA"/>
        </w:rPr>
        <w:t>CENTRO DE CUSTO</w:t>
      </w:r>
      <w:r>
        <w:rPr>
          <w:rFonts w:hint="default" w:ascii="Arial" w:hAnsi="Arial"/>
          <w:b w:val="0"/>
          <w:bCs w:val="0"/>
          <w:sz w:val="18"/>
          <w:szCs w:val="18"/>
          <w:lang w:val="pt-BR" w:eastAsia="ar-SA"/>
        </w:rPr>
        <w:t xml:space="preserve"> </w:t>
      </w:r>
      <w:r>
        <w:rPr>
          <w:rFonts w:hint="default" w:ascii="Arial" w:hAnsi="Arial"/>
          <w:b w:val="0"/>
          <w:bCs w:val="0"/>
          <w:sz w:val="18"/>
          <w:szCs w:val="18"/>
          <w:lang w:eastAsia="ar-SA"/>
        </w:rPr>
        <w:t xml:space="preserve">02.008 – Secretaria de Saúde </w:t>
      </w:r>
    </w:p>
    <w:p w14:paraId="169A4119">
      <w:pPr>
        <w:spacing w:line="360" w:lineRule="auto"/>
        <w:jc w:val="both"/>
        <w:rPr>
          <w:rFonts w:hint="default" w:ascii="Arial" w:hAnsi="Arial"/>
          <w:b w:val="0"/>
          <w:bCs w:val="0"/>
          <w:sz w:val="18"/>
          <w:szCs w:val="18"/>
          <w:lang w:eastAsia="ar-SA"/>
        </w:rPr>
      </w:pPr>
      <w:r>
        <w:rPr>
          <w:rFonts w:hint="default" w:ascii="Arial" w:hAnsi="Arial"/>
          <w:b w:val="0"/>
          <w:bCs w:val="0"/>
          <w:sz w:val="18"/>
          <w:szCs w:val="18"/>
          <w:lang w:eastAsia="ar-SA"/>
        </w:rPr>
        <w:t xml:space="preserve">10.122.0000.0.008 – Cumprimento de Sentenças Judiciais na Área da Saúde. </w:t>
      </w:r>
    </w:p>
    <w:p w14:paraId="3C97F77A">
      <w:pPr>
        <w:spacing w:line="360" w:lineRule="auto"/>
        <w:jc w:val="both"/>
        <w:rPr>
          <w:rFonts w:hint="default" w:ascii="Arial" w:hAnsi="Arial"/>
          <w:b w:val="0"/>
          <w:bCs w:val="0"/>
          <w:sz w:val="18"/>
          <w:szCs w:val="18"/>
          <w:lang w:val="pt-BR" w:eastAsia="ar-SA"/>
        </w:rPr>
      </w:pPr>
      <w:r>
        <w:rPr>
          <w:rFonts w:hint="default" w:ascii="Arial" w:hAnsi="Arial"/>
          <w:b w:val="0"/>
          <w:bCs w:val="0"/>
          <w:sz w:val="18"/>
          <w:szCs w:val="18"/>
          <w:lang w:eastAsia="ar-SA"/>
        </w:rPr>
        <w:t>3.3.90.91.00.00.00.00 01.0500 – Sentenças Judiciais (Ficha 330)</w:t>
      </w:r>
      <w:r>
        <w:rPr>
          <w:rFonts w:hint="default" w:ascii="Arial" w:hAnsi="Arial"/>
          <w:b w:val="0"/>
          <w:bCs w:val="0"/>
          <w:sz w:val="18"/>
          <w:szCs w:val="18"/>
          <w:lang w:val="pt-BR" w:eastAsia="ar-SA"/>
        </w:rPr>
        <w:t>.</w:t>
      </w:r>
    </w:p>
    <w:p w14:paraId="0E9F5E13">
      <w:pPr>
        <w:spacing w:line="360" w:lineRule="auto"/>
        <w:jc w:val="both"/>
        <w:rPr>
          <w:rFonts w:hint="default" w:ascii="Arial" w:hAnsi="Arial"/>
          <w:b w:val="0"/>
          <w:bCs w:val="0"/>
          <w:sz w:val="18"/>
          <w:szCs w:val="18"/>
          <w:lang w:val="pt-BR" w:eastAsia="ar-SA"/>
        </w:rPr>
      </w:pPr>
    </w:p>
    <w:p w14:paraId="2313C6F4">
      <w:pPr>
        <w:spacing w:line="360" w:lineRule="auto"/>
        <w:jc w:val="both"/>
        <w:rPr>
          <w:rFonts w:hint="default" w:ascii="Arial" w:hAnsi="Arial"/>
          <w:b w:val="0"/>
          <w:bCs w:val="0"/>
          <w:sz w:val="18"/>
          <w:szCs w:val="18"/>
          <w:lang w:val="pt-BR" w:eastAsia="ar-SA"/>
        </w:rPr>
      </w:pPr>
    </w:p>
    <w:p w14:paraId="37F2D69D">
      <w:pPr>
        <w:spacing w:line="360" w:lineRule="auto"/>
        <w:jc w:val="both"/>
        <w:rPr>
          <w:rFonts w:hint="default" w:ascii="Arial" w:hAnsi="Arial"/>
          <w:b w:val="0"/>
          <w:bCs w:val="0"/>
          <w:sz w:val="18"/>
          <w:szCs w:val="18"/>
          <w:lang w:val="pt-BR"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D1E6955">
      <w:pPr>
        <w:pStyle w:val="310"/>
        <w:numPr>
          <w:ilvl w:val="2"/>
          <w:numId w:val="0"/>
        </w:numPr>
        <w:tabs>
          <w:tab w:val="left" w:pos="1200"/>
        </w:tabs>
        <w:spacing w:before="0" w:after="0" w:line="360" w:lineRule="auto"/>
        <w:ind w:leftChars="0"/>
        <w:rPr>
          <w:rFonts w:hint="default" w:ascii="Arial" w:hAnsi="Arial" w:cs="Arial"/>
          <w:i w:val="0"/>
          <w:color w:val="auto"/>
          <w:sz w:val="18"/>
          <w:szCs w:val="18"/>
          <w:lang w:val="pt-BR"/>
        </w:rPr>
      </w:pPr>
      <w:bookmarkStart w:id="2" w:name="_Ref113883338"/>
      <w:r>
        <w:rPr>
          <w:rFonts w:hint="default" w:ascii="Arial" w:hAnsi="Arial" w:cs="Arial"/>
          <w:i w:val="0"/>
          <w:color w:val="auto"/>
          <w:sz w:val="18"/>
          <w:szCs w:val="18"/>
          <w:lang w:val="pt-BR"/>
        </w:rPr>
        <w:t xml:space="preserve">3.7 Será concedido tratamento favorecido para as microempresas e empresas de pequeno porte, para as sociedades cooperativas mencionadas no </w:t>
      </w:r>
      <w:r>
        <w:rPr>
          <w:rFonts w:hint="default" w:ascii="Arial" w:hAnsi="Arial" w:cs="Arial"/>
          <w:i w:val="0"/>
          <w:color w:val="auto"/>
          <w:sz w:val="18"/>
          <w:szCs w:val="18"/>
          <w:lang w:val="pt-BR"/>
        </w:rPr>
        <w:fldChar w:fldCharType="begin"/>
      </w:r>
      <w:r>
        <w:rPr>
          <w:rFonts w:hint="default" w:ascii="Arial" w:hAnsi="Arial" w:cs="Arial"/>
          <w:i w:val="0"/>
          <w:color w:val="auto"/>
          <w:sz w:val="18"/>
          <w:szCs w:val="18"/>
          <w:lang w:val="pt-BR"/>
        </w:rPr>
        <w:instrText xml:space="preserve"> HYPERLINK "http://www.planalto.gov.br/ccivil_03/_ato2019-2022/2021/lei/L14133.htm" \l "art16" </w:instrText>
      </w:r>
      <w:r>
        <w:rPr>
          <w:rFonts w:hint="default" w:ascii="Arial" w:hAnsi="Arial" w:cs="Arial"/>
          <w:i w:val="0"/>
          <w:color w:val="auto"/>
          <w:sz w:val="18"/>
          <w:szCs w:val="18"/>
          <w:lang w:val="pt-BR"/>
        </w:rPr>
        <w:fldChar w:fldCharType="separate"/>
      </w:r>
      <w:r>
        <w:rPr>
          <w:rFonts w:hint="default" w:ascii="Arial" w:hAnsi="Arial" w:cs="Arial"/>
          <w:i w:val="0"/>
          <w:color w:val="auto"/>
          <w:sz w:val="18"/>
          <w:szCs w:val="18"/>
          <w:lang w:val="pt-BR"/>
        </w:rPr>
        <w:t>artigo 16 da Lei nº 14.133, de 2021</w:t>
      </w:r>
      <w:r>
        <w:rPr>
          <w:rFonts w:hint="default" w:ascii="Arial" w:hAnsi="Arial" w:cs="Arial"/>
          <w:i w:val="0"/>
          <w:color w:val="auto"/>
          <w:sz w:val="18"/>
          <w:szCs w:val="18"/>
          <w:lang w:val="pt-BR"/>
        </w:rPr>
        <w:fldChar w:fldCharType="end"/>
      </w:r>
      <w:r>
        <w:rPr>
          <w:rFonts w:hint="default" w:ascii="Arial" w:hAnsi="Arial" w:cs="Arial"/>
          <w:i w:val="0"/>
          <w:color w:val="auto"/>
          <w:sz w:val="18"/>
          <w:szCs w:val="18"/>
          <w:lang w:val="pt-BR"/>
        </w:rPr>
        <w:t xml:space="preserve">, para o agricultor familiar, o produtor rural pessoa física e para o microempreendedor individual - MEI, nos limites previstos da </w:t>
      </w:r>
      <w:r>
        <w:rPr>
          <w:rFonts w:hint="default" w:ascii="Arial" w:hAnsi="Arial" w:cs="Arial"/>
          <w:i w:val="0"/>
          <w:color w:val="auto"/>
          <w:sz w:val="18"/>
          <w:szCs w:val="18"/>
          <w:lang w:val="pt-BR"/>
        </w:rPr>
        <w:fldChar w:fldCharType="begin"/>
      </w:r>
      <w:r>
        <w:rPr>
          <w:rFonts w:hint="default" w:ascii="Arial" w:hAnsi="Arial" w:cs="Arial"/>
          <w:i w:val="0"/>
          <w:color w:val="auto"/>
          <w:sz w:val="18"/>
          <w:szCs w:val="18"/>
          <w:lang w:val="pt-BR"/>
        </w:rPr>
        <w:instrText xml:space="preserve"> HYPERLINK "https://www.planalto.gov.br/ccivil_03/leis/lcp/lcp123.htm" </w:instrText>
      </w:r>
      <w:r>
        <w:rPr>
          <w:rFonts w:hint="default" w:ascii="Arial" w:hAnsi="Arial" w:cs="Arial"/>
          <w:i w:val="0"/>
          <w:color w:val="auto"/>
          <w:sz w:val="18"/>
          <w:szCs w:val="18"/>
          <w:lang w:val="pt-BR"/>
        </w:rPr>
        <w:fldChar w:fldCharType="separate"/>
      </w:r>
      <w:r>
        <w:rPr>
          <w:rFonts w:hint="default" w:ascii="Arial" w:hAnsi="Arial" w:cs="Arial"/>
          <w:i w:val="0"/>
          <w:color w:val="auto"/>
          <w:sz w:val="18"/>
          <w:szCs w:val="18"/>
          <w:lang w:val="pt-BR"/>
        </w:rPr>
        <w:t>Lei Complementar nº 123, de 2006</w:t>
      </w:r>
      <w:r>
        <w:rPr>
          <w:rFonts w:hint="default" w:ascii="Arial" w:hAnsi="Arial" w:cs="Arial"/>
          <w:i w:val="0"/>
          <w:color w:val="auto"/>
          <w:sz w:val="18"/>
          <w:szCs w:val="18"/>
          <w:lang w:val="pt-BR"/>
        </w:rPr>
        <w:fldChar w:fldCharType="end"/>
      </w:r>
      <w:r>
        <w:rPr>
          <w:rFonts w:hint="default" w:ascii="Arial" w:hAnsi="Arial" w:cs="Arial"/>
          <w:i w:val="0"/>
          <w:color w:val="auto"/>
          <w:sz w:val="18"/>
          <w:szCs w:val="18"/>
          <w:lang w:val="pt-BR"/>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261D88D">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0,01% (zero vírgula zero um por cento).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21F513E2">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5F7F92F">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481785E">
      <w:pP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422799D4">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r>
        <w:rPr>
          <w:rFonts w:hint="default" w:ascii="Arial" w:hAnsi="Arial"/>
          <w:sz w:val="18"/>
          <w:szCs w:val="18"/>
          <w:lang w:val="pt-BR"/>
        </w:rPr>
        <w:t>8</w:t>
      </w:r>
      <w:r>
        <w:rPr>
          <w:rFonts w:hint="default" w:ascii="Arial" w:hAnsi="Arial"/>
          <w:sz w:val="18"/>
          <w:szCs w:val="18"/>
        </w:rPr>
        <w:t>.</w:t>
      </w:r>
      <w:r>
        <w:rPr>
          <w:rFonts w:hint="default" w:ascii="Arial" w:hAnsi="Arial"/>
          <w:sz w:val="18"/>
          <w:szCs w:val="18"/>
          <w:lang w:val="pt-BR"/>
        </w:rPr>
        <w:t>9.5</w:t>
      </w:r>
      <w:r>
        <w:rPr>
          <w:rFonts w:hint="default" w:ascii="Arial" w:hAnsi="Arial"/>
          <w:sz w:val="18"/>
          <w:szCs w:val="18"/>
        </w:rPr>
        <w:t xml:space="preserve">.1. 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184FBCE9">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r>
        <w:rPr>
          <w:rFonts w:hint="default" w:ascii="Arial" w:hAnsi="Arial"/>
          <w:sz w:val="18"/>
          <w:szCs w:val="18"/>
          <w:lang w:val="pt-BR"/>
        </w:rPr>
        <w:t>8</w:t>
      </w:r>
      <w:r>
        <w:rPr>
          <w:rFonts w:hint="default" w:ascii="Arial" w:hAnsi="Arial"/>
          <w:sz w:val="18"/>
          <w:szCs w:val="18"/>
        </w:rPr>
        <w:t>.</w:t>
      </w:r>
      <w:r>
        <w:rPr>
          <w:rFonts w:hint="default" w:ascii="Arial" w:hAnsi="Arial"/>
          <w:sz w:val="18"/>
          <w:szCs w:val="18"/>
          <w:lang w:val="pt-BR"/>
        </w:rPr>
        <w:t>9.5</w:t>
      </w:r>
      <w:r>
        <w:rPr>
          <w:rFonts w:hint="default" w:ascii="Arial" w:hAnsi="Arial"/>
          <w:sz w:val="18"/>
          <w:szCs w:val="18"/>
        </w:rPr>
        <w:t xml:space="preserve">.2. Os atestados de capacidade técnica poderão ser apresentados em nome da matriz ou da filial do fornecedor. </w:t>
      </w:r>
    </w:p>
    <w:p w14:paraId="1620440E">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r>
        <w:rPr>
          <w:rFonts w:hint="default" w:ascii="Arial" w:hAnsi="Arial"/>
          <w:sz w:val="18"/>
          <w:szCs w:val="18"/>
          <w:lang w:val="pt-BR"/>
        </w:rPr>
        <w:t>8.9</w:t>
      </w:r>
      <w:r>
        <w:rPr>
          <w:rFonts w:hint="default" w:ascii="Arial" w:hAnsi="Arial"/>
          <w:sz w:val="18"/>
          <w:szCs w:val="18"/>
        </w:rPr>
        <w:t>.</w:t>
      </w:r>
      <w:r>
        <w:rPr>
          <w:rFonts w:hint="default" w:ascii="Arial" w:hAnsi="Arial"/>
          <w:sz w:val="18"/>
          <w:szCs w:val="18"/>
          <w:lang w:val="pt-BR"/>
        </w:rPr>
        <w:t>5</w:t>
      </w:r>
      <w:r>
        <w:rPr>
          <w:rFonts w:hint="default" w:ascii="Arial" w:hAnsi="Arial"/>
          <w:sz w:val="18"/>
          <w:szCs w:val="18"/>
        </w:rPr>
        <w:t>.3. Deverão ainda ser apresentadas Licença Sanitária expedida pelo órgão competente local, em plena vigência; Autorização de Funcionamento de Empresa (AFE) expedida pela Agência Nacional de Vigilância Sanitária (ANVISA), devidamente atualizada</w:t>
      </w:r>
      <w:r>
        <w:rPr>
          <w:rFonts w:hint="default" w:ascii="Arial" w:hAnsi="Arial"/>
          <w:sz w:val="18"/>
          <w:szCs w:val="18"/>
          <w:lang w:val="pt-BR"/>
        </w:rPr>
        <w:t>.</w:t>
      </w:r>
      <w:r>
        <w:rPr>
          <w:rFonts w:hint="default" w:ascii="Arial" w:hAnsi="Arial"/>
          <w:sz w:val="18"/>
          <w:szCs w:val="18"/>
        </w:rPr>
        <w:t xml:space="preserve"> Autorização de Funcionamento Especial (AE) expedida pela Agência Nacional de Vigilância Sanitária (ANVISA), devidamente atualizada.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8F107ED">
      <w:pPr>
        <w:pStyle w:val="303"/>
        <w:numPr>
          <w:ilvl w:val="0"/>
          <w:numId w:val="0"/>
        </w:numPr>
        <w:tabs>
          <w:tab w:val="left" w:pos="993"/>
        </w:tabs>
        <w:spacing w:before="0" w:after="0" w:line="360" w:lineRule="auto"/>
        <w:ind w:leftChars="0"/>
        <w:rPr>
          <w:rFonts w:ascii="Arial" w:hAnsi="Arial" w:cs="Arial"/>
          <w:bCs/>
          <w:sz w:val="18"/>
          <w:szCs w:val="18"/>
        </w:rPr>
      </w:pPr>
      <w:r>
        <w:rPr>
          <w:rFonts w:hint="default" w:cs="Arial"/>
          <w:bCs/>
          <w:sz w:val="18"/>
          <w:szCs w:val="18"/>
          <w:lang w:val="pt-BR"/>
        </w:rPr>
        <w:t xml:space="preserve">8.19 </w:t>
      </w:r>
      <w:r>
        <w:rPr>
          <w:rFonts w:ascii="Arial" w:hAnsi="Arial" w:cs="Arial"/>
          <w:bCs/>
          <w:sz w:val="18"/>
          <w:szCs w:val="18"/>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3BF1F41">
      <w:pPr>
        <w:pStyle w:val="303"/>
        <w:numPr>
          <w:ilvl w:val="0"/>
          <w:numId w:val="0"/>
        </w:numPr>
        <w:tabs>
          <w:tab w:val="left" w:pos="993"/>
        </w:tabs>
        <w:spacing w:before="0" w:after="0" w:line="360" w:lineRule="auto"/>
        <w:ind w:leftChars="0"/>
        <w:rPr>
          <w:rFonts w:hint="default" w:ascii="Arial" w:hAnsi="Arial" w:cs="Arial"/>
          <w:bCs/>
          <w:sz w:val="18"/>
          <w:szCs w:val="18"/>
        </w:rPr>
      </w:pPr>
      <w:r>
        <w:rPr>
          <w:rFonts w:hint="default" w:cs="Arial"/>
          <w:bCs/>
          <w:sz w:val="18"/>
          <w:szCs w:val="18"/>
          <w:lang w:val="pt-BR"/>
        </w:rPr>
        <w:t>8.20 O</w:t>
      </w:r>
      <w:r>
        <w:rPr>
          <w:rFonts w:ascii="Arial" w:hAnsi="Arial" w:cs="Arial" w:eastAsiaTheme="minorHAnsi"/>
          <w:bCs/>
          <w:sz w:val="18"/>
          <w:szCs w:val="18"/>
        </w:rPr>
        <w:t>s documentos que não possuírem prazo de vigência estabelecido pelo órgão expedidor</w:t>
      </w:r>
      <w:r>
        <w:rPr>
          <w:rFonts w:hint="default" w:ascii="Arial" w:hAnsi="Arial" w:cs="Arial" w:eastAsiaTheme="minorHAnsi"/>
          <w:bCs/>
          <w:sz w:val="18"/>
          <w:szCs w:val="18"/>
          <w:lang w:val="pt-BR"/>
        </w:rPr>
        <w:t xml:space="preserve"> será considerado a vigência de 90 (n</w:t>
      </w:r>
      <w:r>
        <w:rPr>
          <w:rFonts w:ascii="Arial" w:hAnsi="Arial" w:cs="Arial" w:eastAsiaTheme="minorHAnsi"/>
          <w:bCs/>
          <w:sz w:val="18"/>
          <w:szCs w:val="18"/>
        </w:rPr>
        <w:t xml:space="preserve">oventa) dias </w:t>
      </w:r>
      <w:r>
        <w:rPr>
          <w:rFonts w:hint="default" w:ascii="Arial" w:hAnsi="Arial" w:cs="Arial" w:eastAsiaTheme="minorHAnsi"/>
          <w:bCs/>
          <w:sz w:val="18"/>
          <w:szCs w:val="18"/>
          <w:lang w:val="pt-BR"/>
        </w:rPr>
        <w:t>a partir da emissão do documento</w:t>
      </w:r>
      <w:r>
        <w:rPr>
          <w:rFonts w:ascii="Arial" w:hAnsi="Arial" w:cs="Arial" w:eastAsiaTheme="minorHAnsi"/>
          <w:bCs/>
          <w:sz w:val="18"/>
          <w:szCs w:val="18"/>
        </w:rPr>
        <w:t>, exceto atestados de capacidade técnica, se exigidos;</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8.2</w:t>
      </w:r>
      <w:r>
        <w:rPr>
          <w:rFonts w:hint="default" w:cs="Arial"/>
          <w:sz w:val="18"/>
          <w:szCs w:val="18"/>
          <w:lang w:val="pt-BR"/>
        </w:rPr>
        <w:t>2</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8.2</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8.2</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5</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632455B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1946500E">
      <w:pPr>
        <w:spacing w:line="360" w:lineRule="auto"/>
        <w:jc w:val="both"/>
        <w:rPr>
          <w:rFonts w:hint="default" w:ascii="Arial" w:hAnsi="Arial"/>
          <w:b/>
          <w:bCs/>
          <w:sz w:val="18"/>
          <w:szCs w:val="18"/>
          <w:lang w:eastAsia="ar-SA"/>
        </w:rPr>
      </w:pPr>
      <w:r>
        <w:rPr>
          <w:rFonts w:hint="default" w:ascii="Arial" w:hAnsi="Arial"/>
          <w:b/>
          <w:bCs/>
          <w:sz w:val="18"/>
          <w:szCs w:val="18"/>
          <w:lang w:eastAsia="ar-SA"/>
        </w:rPr>
        <w:t>CENTRO DE CUSTO</w:t>
      </w:r>
      <w:r>
        <w:rPr>
          <w:rFonts w:hint="default" w:ascii="Arial" w:hAnsi="Arial"/>
          <w:b/>
          <w:bCs/>
          <w:sz w:val="18"/>
          <w:szCs w:val="18"/>
          <w:lang w:val="pt-BR" w:eastAsia="ar-SA"/>
        </w:rPr>
        <w:t xml:space="preserve"> </w:t>
      </w:r>
      <w:r>
        <w:rPr>
          <w:rFonts w:hint="default" w:ascii="Arial" w:hAnsi="Arial"/>
          <w:b/>
          <w:bCs/>
          <w:sz w:val="18"/>
          <w:szCs w:val="18"/>
          <w:lang w:eastAsia="ar-SA"/>
        </w:rPr>
        <w:t xml:space="preserve">02.008 – Secretaria de Saúde </w:t>
      </w:r>
    </w:p>
    <w:p w14:paraId="552DD7B0">
      <w:pPr>
        <w:spacing w:line="360" w:lineRule="auto"/>
        <w:jc w:val="both"/>
        <w:rPr>
          <w:rFonts w:hint="default" w:ascii="Arial" w:hAnsi="Arial"/>
          <w:b w:val="0"/>
          <w:bCs w:val="0"/>
          <w:sz w:val="18"/>
          <w:szCs w:val="18"/>
          <w:lang w:eastAsia="ar-SA"/>
        </w:rPr>
      </w:pPr>
      <w:r>
        <w:rPr>
          <w:rFonts w:hint="default" w:ascii="Arial" w:hAnsi="Arial"/>
          <w:b w:val="0"/>
          <w:bCs w:val="0"/>
          <w:sz w:val="18"/>
          <w:szCs w:val="18"/>
          <w:lang w:eastAsia="ar-SA"/>
        </w:rPr>
        <w:t xml:space="preserve">10.122.0000.0.008 – Cumprimento de Sentenças Judiciais na Área da Saúde. </w:t>
      </w:r>
    </w:p>
    <w:p w14:paraId="6C29F09F">
      <w:pPr>
        <w:spacing w:line="360" w:lineRule="auto"/>
        <w:jc w:val="both"/>
        <w:rPr>
          <w:rFonts w:hint="default" w:ascii="Arial" w:hAnsi="Arial"/>
          <w:b w:val="0"/>
          <w:bCs w:val="0"/>
          <w:sz w:val="18"/>
          <w:szCs w:val="18"/>
          <w:lang w:val="pt-BR" w:eastAsia="ar-SA"/>
        </w:rPr>
      </w:pPr>
      <w:r>
        <w:rPr>
          <w:rFonts w:hint="default" w:ascii="Arial" w:hAnsi="Arial"/>
          <w:b w:val="0"/>
          <w:bCs w:val="0"/>
          <w:sz w:val="18"/>
          <w:szCs w:val="18"/>
          <w:lang w:eastAsia="ar-SA"/>
        </w:rPr>
        <w:t>3.3.90.91.00.00.00.00 01.0500 – Sentenças Judiciais (Ficha 330)</w:t>
      </w:r>
      <w:r>
        <w:rPr>
          <w:rFonts w:hint="default" w:ascii="Arial" w:hAnsi="Arial"/>
          <w:b w:val="0"/>
          <w:bCs w:val="0"/>
          <w:sz w:val="18"/>
          <w:szCs w:val="18"/>
          <w:lang w:val="pt-BR" w:eastAsia="ar-SA"/>
        </w:rPr>
        <w:t>.</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bCs/>
          <w:sz w:val="20"/>
          <w:szCs w:val="20"/>
        </w:rPr>
        <w:t>R$ 390.000,00 (trezentos e noventa mil reais)</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4577E846">
      <w:pPr>
        <w:spacing w:line="36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2482A572">
      <w:pPr>
        <w:pStyle w:val="304"/>
        <w:spacing w:before="0" w:after="0" w:line="360" w:lineRule="auto"/>
        <w:ind w:left="0"/>
        <w:rPr>
          <w:rFonts w:hint="default" w:ascii="Arial" w:hAnsi="Arial" w:cs="Arial"/>
          <w:color w:val="auto"/>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
      <w:bookmarkEnd w:id="29"/>
      <w:bookmarkStart w:id="30" w:name="art155v"/>
      <w:bookmarkEnd w:id="30"/>
      <w:bookmarkStart w:id="31" w:name="art155ix"/>
      <w:bookmarkEnd w:id="31"/>
      <w:bookmarkStart w:id="32" w:name="art155iv"/>
      <w:bookmarkEnd w:id="32"/>
      <w:bookmarkStart w:id="33" w:name="art155viii"/>
      <w:bookmarkEnd w:id="33"/>
      <w:bookmarkStart w:id="34" w:name="art155x"/>
      <w:bookmarkEnd w:id="34"/>
      <w:bookmarkStart w:id="35" w:name="art155ii"/>
      <w:bookmarkEnd w:id="35"/>
      <w:bookmarkStart w:id="36" w:name="art155vii"/>
      <w:bookmarkEnd w:id="36"/>
      <w:bookmarkStart w:id="37" w:name="art155iii"/>
      <w:bookmarkEnd w:id="37"/>
    </w:p>
    <w:p w14:paraId="3FB8330A">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603E051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3"/>
        <w:spacing w:before="0" w:after="0" w:line="360" w:lineRule="auto"/>
        <w:rPr>
          <w:rFonts w:hint="default" w:ascii="Arial" w:hAnsi="Arial" w:cs="Arial"/>
          <w:color w:val="auto"/>
          <w:sz w:val="18"/>
          <w:szCs w:val="18"/>
        </w:rPr>
      </w:pPr>
      <w:bookmarkStart w:id="38" w:name="art156§6"/>
      <w:bookmarkEnd w:id="38"/>
      <w:bookmarkStart w:id="39" w:name="art156§3"/>
      <w:bookmarkEnd w:id="39"/>
      <w:bookmarkStart w:id="40" w:name="art156§5"/>
      <w:bookmarkEnd w:id="40"/>
      <w:bookmarkStart w:id="41" w:name="art156§4"/>
      <w:bookmarkEnd w:id="41"/>
      <w:bookmarkStart w:id="42" w:name="art156§7"/>
      <w:bookmarkEnd w:id="42"/>
      <w:bookmarkStart w:id="43" w:name="art156§6ii"/>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657A4900">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20 de fevereiro de 2026.</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3"/>
        <w:spacing w:before="0" w:after="0" w:line="360" w:lineRule="auto"/>
        <w:rPr>
          <w:rFonts w:hint="default" w:ascii="Arial" w:hAnsi="Arial" w:cs="Arial"/>
          <w:sz w:val="18"/>
          <w:szCs w:val="18"/>
        </w:rPr>
      </w:pPr>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6"/>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8</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45"/>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1CCD2E25">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7C1995C8">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05 de fevereiro de 2026.</w:t>
      </w: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0871760C">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1FB95994">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007/2026</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002/2026</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002/2026</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3687212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 CONDIÇÕES GERAIS DA CONTRATAÇÃO</w:t>
      </w:r>
    </w:p>
    <w:p w14:paraId="40F746D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1.1.</w:t>
      </w:r>
      <w:r>
        <w:rPr>
          <w:rFonts w:ascii="Arial" w:hAnsi="Arial" w:cs="Arial"/>
          <w:sz w:val="17"/>
          <w:szCs w:val="17"/>
        </w:rPr>
        <w:t xml:space="preserve"> O presente documento tem por objetivo estabelecer as condições gerais que orientarão o processo licitatório, na modalidade Pregão Eletrônico, pelo Sistema de Registro de Preços, do tipo Maior Percentual de Desconto por item sobre a tabela CMED/ANVISA – PMVG (Preço Máximo de Venda ao Governo), visando à aquisição de medicamentos de A à Z, classificados como Referência (Éticos e Biológicos), Genéricos e Similares, destinados ao atendimento das demandas judiciais da Secretaria Municipal de Saúde de Cataguases/MG, em conformidade com as exigências deste instrumento e com os parâmetros estabelecidos pela Lei Federal nº 14.133/2021.</w:t>
      </w:r>
    </w:p>
    <w:p w14:paraId="06C1F69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1.2.</w:t>
      </w:r>
      <w:r>
        <w:rPr>
          <w:rFonts w:ascii="Arial" w:hAnsi="Arial" w:cs="Arial"/>
          <w:sz w:val="17"/>
          <w:szCs w:val="17"/>
        </w:rPr>
        <w:t xml:space="preserve"> Os itens objeto desta contratação enquadram-se na classificação de bens e serviços comuns, nos termos do art. 6º, inciso XIII, da Lei Federal nº 14.133/2021, conforme justificativa constante no Estudo Técnico Preliminar.</w:t>
      </w:r>
    </w:p>
    <w:p w14:paraId="50B9BB7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1.3.</w:t>
      </w:r>
      <w:r>
        <w:rPr>
          <w:rFonts w:ascii="Arial" w:hAnsi="Arial" w:cs="Arial"/>
          <w:sz w:val="17"/>
          <w:szCs w:val="17"/>
        </w:rPr>
        <w:t xml:space="preserve"> O objeto da contratação não se enquadra como bem de luxo, nos termos do Decreto nº 10.818, de 27 de setembro de 2021.</w:t>
      </w:r>
    </w:p>
    <w:p w14:paraId="19F527B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1.4.</w:t>
      </w:r>
      <w:r>
        <w:rPr>
          <w:rFonts w:ascii="Arial" w:hAnsi="Arial" w:cs="Arial"/>
          <w:sz w:val="17"/>
          <w:szCs w:val="17"/>
        </w:rPr>
        <w:t xml:space="preserve"> O prazo de vigência da contratação será de 12 (doze) meses, contados a partir da data de homologação da Ata de Registro de Preços, podendo ser prorrogado na forma da legislação vigente.</w:t>
      </w:r>
    </w:p>
    <w:p w14:paraId="5C98A14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1.5.</w:t>
      </w:r>
      <w:r>
        <w:rPr>
          <w:rFonts w:ascii="Arial" w:hAnsi="Arial" w:cs="Arial"/>
          <w:sz w:val="17"/>
          <w:szCs w:val="17"/>
        </w:rPr>
        <w:t xml:space="preserve"> Registra-se que o presente processo não está vinculado ao Programa de Aceleração do Crescimento (PAC) do Governo Federal, por tratar-se de demanda administrativa destinada à aquisição de medicamentos de A à Z – Referência (Éticos e Biológicos), Genéricos e Similares, por meio de Pregão Eletrônico, pelo Sistema de Registro de Preços, com critério de julgamento pelo Maior Percentual de Desconto por item sobre a tabela CMED/ANVISA – PMVG, voltada ao atendimento das demandas judiciais da Secretaria Municipal de Saúde de Cataguases/MG, assegurando o cumprimento das decisões judiciais, a continuidade do tratamento dos pacientes e a observância aos princípios da legalidade, eficiência e interesse público.</w:t>
      </w:r>
    </w:p>
    <w:p w14:paraId="7CAECDB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667013A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2. ESTIMATIVA DAS QUANTIDADES A SEREM CONTRATADAS</w:t>
      </w:r>
    </w:p>
    <w:p w14:paraId="7886178C">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2.1.</w:t>
      </w:r>
      <w:r>
        <w:rPr>
          <w:rFonts w:ascii="Arial" w:hAnsi="Arial" w:cs="Arial"/>
          <w:sz w:val="17"/>
          <w:szCs w:val="17"/>
        </w:rPr>
        <w:t xml:space="preserve"> A estimativa das quantidades a serem contratadas será definida com base nas demandas judiciais existentes e nas projeções futuras, considerando a sazonalidade e o crescimento progressivo dessas demandas.</w:t>
      </w:r>
    </w:p>
    <w:p w14:paraId="029033D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2.2.</w:t>
      </w:r>
      <w:r>
        <w:rPr>
          <w:rFonts w:ascii="Arial" w:hAnsi="Arial" w:cs="Arial"/>
          <w:sz w:val="17"/>
          <w:szCs w:val="17"/>
        </w:rPr>
        <w:t xml:space="preserve"> A estimativa das quantidades a serem contratadas encontra-se detalhada na tabela a seguir:</w:t>
      </w:r>
    </w:p>
    <w:tbl>
      <w:tblPr>
        <w:tblStyle w:val="339"/>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6616"/>
        <w:gridCol w:w="849"/>
        <w:gridCol w:w="1347"/>
      </w:tblGrid>
      <w:tr w14:paraId="736F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tcPr>
          <w:p w14:paraId="35762F56">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b/>
                <w:sz w:val="17"/>
                <w:szCs w:val="17"/>
              </w:rPr>
            </w:pPr>
            <w:r>
              <w:rPr>
                <w:rFonts w:ascii="Arial" w:hAnsi="Arial" w:cs="Arial"/>
                <w:b/>
                <w:sz w:val="17"/>
                <w:szCs w:val="17"/>
              </w:rPr>
              <w:t>Item</w:t>
            </w:r>
          </w:p>
        </w:tc>
        <w:tc>
          <w:tcPr>
            <w:tcW w:w="6616" w:type="dxa"/>
          </w:tcPr>
          <w:p w14:paraId="1202BF1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b/>
                <w:sz w:val="17"/>
                <w:szCs w:val="17"/>
              </w:rPr>
            </w:pPr>
            <w:r>
              <w:rPr>
                <w:rFonts w:ascii="Arial" w:hAnsi="Arial" w:cs="Arial"/>
                <w:b/>
                <w:sz w:val="17"/>
                <w:szCs w:val="17"/>
              </w:rPr>
              <w:t>Descrição</w:t>
            </w:r>
          </w:p>
        </w:tc>
        <w:tc>
          <w:tcPr>
            <w:tcW w:w="849" w:type="dxa"/>
          </w:tcPr>
          <w:p w14:paraId="0E6904A9">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b/>
                <w:sz w:val="17"/>
                <w:szCs w:val="17"/>
              </w:rPr>
            </w:pPr>
            <w:r>
              <w:rPr>
                <w:rFonts w:ascii="Arial" w:hAnsi="Arial" w:cs="Arial"/>
                <w:b/>
                <w:sz w:val="17"/>
                <w:szCs w:val="17"/>
              </w:rPr>
              <w:t>Código</w:t>
            </w:r>
          </w:p>
        </w:tc>
        <w:tc>
          <w:tcPr>
            <w:tcW w:w="1347" w:type="dxa"/>
          </w:tcPr>
          <w:p w14:paraId="6DE4892E">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b/>
                <w:sz w:val="17"/>
                <w:szCs w:val="17"/>
              </w:rPr>
            </w:pPr>
            <w:r>
              <w:rPr>
                <w:rFonts w:ascii="Arial" w:hAnsi="Arial" w:cs="Arial"/>
                <w:b/>
                <w:sz w:val="17"/>
                <w:szCs w:val="17"/>
              </w:rPr>
              <w:t>Valor total</w:t>
            </w:r>
          </w:p>
        </w:tc>
      </w:tr>
      <w:tr w14:paraId="733BB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tcPr>
          <w:p w14:paraId="1AD9AA28">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01</w:t>
            </w:r>
          </w:p>
        </w:tc>
        <w:tc>
          <w:tcPr>
            <w:tcW w:w="6616" w:type="dxa"/>
          </w:tcPr>
          <w:p w14:paraId="2B6190A2">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cs="Arial"/>
                <w:sz w:val="17"/>
                <w:szCs w:val="17"/>
              </w:rPr>
            </w:pPr>
            <w:r>
              <w:rPr>
                <w:rFonts w:ascii="Arial" w:hAnsi="Arial" w:cs="Arial"/>
                <w:sz w:val="17"/>
                <w:szCs w:val="17"/>
              </w:rPr>
              <w:t>Medicamentos REFERÊNCIA (ÉTICOS e BIOLÓGICOS) de “A à Z”, descritos na Tabela CMED/ANVISA – COLUNA – PMVG – ICMS 18%.</w:t>
            </w:r>
          </w:p>
        </w:tc>
        <w:tc>
          <w:tcPr>
            <w:tcW w:w="849" w:type="dxa"/>
          </w:tcPr>
          <w:p w14:paraId="58F650FF">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15660</w:t>
            </w:r>
          </w:p>
        </w:tc>
        <w:tc>
          <w:tcPr>
            <w:tcW w:w="1347" w:type="dxa"/>
          </w:tcPr>
          <w:p w14:paraId="7C8E1EAD">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R$130.000,00</w:t>
            </w:r>
          </w:p>
        </w:tc>
      </w:tr>
      <w:tr w14:paraId="6E1B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tcPr>
          <w:p w14:paraId="55D23170">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02</w:t>
            </w:r>
          </w:p>
        </w:tc>
        <w:tc>
          <w:tcPr>
            <w:tcW w:w="6616" w:type="dxa"/>
          </w:tcPr>
          <w:p w14:paraId="7BBF68EE">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cs="Arial"/>
                <w:sz w:val="17"/>
                <w:szCs w:val="17"/>
              </w:rPr>
            </w:pPr>
            <w:r>
              <w:rPr>
                <w:rFonts w:ascii="Arial" w:hAnsi="Arial" w:cs="Arial"/>
                <w:sz w:val="17"/>
                <w:szCs w:val="17"/>
              </w:rPr>
              <w:t>Medicamentos GENÉRICOS de “A à Z”, descritos na Tabela CMED/ANVISA – COLUNA PMVG – ICMS 18%.</w:t>
            </w:r>
          </w:p>
        </w:tc>
        <w:tc>
          <w:tcPr>
            <w:tcW w:w="849" w:type="dxa"/>
          </w:tcPr>
          <w:p w14:paraId="79296B18">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15660</w:t>
            </w:r>
          </w:p>
        </w:tc>
        <w:tc>
          <w:tcPr>
            <w:tcW w:w="1347" w:type="dxa"/>
          </w:tcPr>
          <w:p w14:paraId="44FE62A4">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R$130.000,00</w:t>
            </w:r>
          </w:p>
        </w:tc>
      </w:tr>
      <w:tr w14:paraId="4BB23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tcPr>
          <w:p w14:paraId="1F235818">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03</w:t>
            </w:r>
          </w:p>
        </w:tc>
        <w:tc>
          <w:tcPr>
            <w:tcW w:w="6616" w:type="dxa"/>
          </w:tcPr>
          <w:p w14:paraId="29F763A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ascii="Arial" w:hAnsi="Arial" w:cs="Arial"/>
                <w:sz w:val="17"/>
                <w:szCs w:val="17"/>
              </w:rPr>
            </w:pPr>
            <w:r>
              <w:rPr>
                <w:rFonts w:ascii="Arial" w:hAnsi="Arial" w:cs="Arial"/>
                <w:sz w:val="17"/>
                <w:szCs w:val="17"/>
              </w:rPr>
              <w:t>Medicamentos SIMILARES de “A à Z”, descritos na Tabela CMED/ANVISA – COLUNA – PMVG – ICMS 18%.</w:t>
            </w:r>
          </w:p>
        </w:tc>
        <w:tc>
          <w:tcPr>
            <w:tcW w:w="849" w:type="dxa"/>
          </w:tcPr>
          <w:p w14:paraId="12B74D86">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15660</w:t>
            </w:r>
          </w:p>
        </w:tc>
        <w:tc>
          <w:tcPr>
            <w:tcW w:w="1347" w:type="dxa"/>
          </w:tcPr>
          <w:p w14:paraId="1D25BC36">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R$130.000,00</w:t>
            </w:r>
          </w:p>
        </w:tc>
      </w:tr>
      <w:tr w14:paraId="6066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7" w:type="dxa"/>
            <w:gridSpan w:val="3"/>
          </w:tcPr>
          <w:p w14:paraId="0EC47080">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p>
        </w:tc>
        <w:tc>
          <w:tcPr>
            <w:tcW w:w="1347" w:type="dxa"/>
          </w:tcPr>
          <w:p w14:paraId="211C9400">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ascii="Arial" w:hAnsi="Arial" w:cs="Arial"/>
                <w:sz w:val="17"/>
                <w:szCs w:val="17"/>
              </w:rPr>
            </w:pPr>
            <w:r>
              <w:rPr>
                <w:rFonts w:ascii="Arial" w:hAnsi="Arial" w:cs="Arial"/>
                <w:sz w:val="17"/>
                <w:szCs w:val="17"/>
              </w:rPr>
              <w:t>R$390.000,00</w:t>
            </w:r>
          </w:p>
        </w:tc>
      </w:tr>
    </w:tbl>
    <w:p w14:paraId="6E4AA4F3">
      <w:pPr>
        <w:keepNext w:val="0"/>
        <w:keepLines w:val="0"/>
        <w:pageBreakBefore w:val="0"/>
        <w:widowControl/>
        <w:kinsoku/>
        <w:wordWrap/>
        <w:overflowPunct/>
        <w:topLinePunct w:val="0"/>
        <w:autoSpaceDE/>
        <w:autoSpaceDN/>
        <w:bidi w:val="0"/>
        <w:adjustRightInd/>
        <w:snapToGrid/>
        <w:spacing w:line="240" w:lineRule="auto"/>
        <w:ind w:left="0" w:firstLine="709"/>
        <w:jc w:val="both"/>
        <w:textAlignment w:val="auto"/>
        <w:rPr>
          <w:rFonts w:ascii="Arial" w:hAnsi="Arial" w:cs="Arial"/>
          <w:sz w:val="17"/>
          <w:szCs w:val="17"/>
        </w:rPr>
      </w:pPr>
    </w:p>
    <w:p w14:paraId="757EF77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Style w:val="6"/>
          <w:rFonts w:ascii="Arial" w:hAnsi="Arial" w:cs="Arial"/>
          <w:sz w:val="17"/>
          <w:szCs w:val="17"/>
        </w:rPr>
        <w:t>OBS:</w:t>
      </w:r>
      <w:r>
        <w:rPr>
          <w:rFonts w:ascii="Arial" w:hAnsi="Arial" w:cs="Arial"/>
          <w:sz w:val="17"/>
          <w:szCs w:val="17"/>
        </w:rPr>
        <w:t xml:space="preserve"> Quando não encontrado o código com a descrição exata do item em pesquisa no “ComprasNet”, o código descrito será o que mais se aproxima do produto, prevalecendo as descrições deste Termo de Referência.</w:t>
      </w:r>
    </w:p>
    <w:p w14:paraId="05392EC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010389C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3. FUNDAMENTAÇÃO E DESCRIÇÃO DA NECESSIDADE DA CONTRATAÇÃO</w:t>
      </w:r>
    </w:p>
    <w:p w14:paraId="7FC9A46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3.1.</w:t>
      </w:r>
      <w:r>
        <w:rPr>
          <w:rFonts w:ascii="Arial" w:hAnsi="Arial" w:cs="Arial"/>
          <w:sz w:val="17"/>
          <w:szCs w:val="17"/>
        </w:rPr>
        <w:t xml:space="preserve"> A Secretaria Municipal de Saúde de Cataguases/MG é responsável por garantir o acesso da população a medicamentos essenciais, incluindo Referência (Éticos e Biológicos), Genéricos e Similares, para o atendimento das demandas judiciais, as quais decorrem de decisões do Poder Judiciário que impõem ao Município o fornecimento de medicamentos não disponibilizados na rede pública ou fora dos protocolos clínicos vigentes, visando assegurar tratamentos indispensáveis à saúde e à integridade dos pacientes.</w:t>
      </w:r>
    </w:p>
    <w:p w14:paraId="75B41E9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3.2.</w:t>
      </w:r>
      <w:r>
        <w:rPr>
          <w:rFonts w:ascii="Arial" w:hAnsi="Arial" w:cs="Arial"/>
          <w:sz w:val="17"/>
          <w:szCs w:val="17"/>
        </w:rPr>
        <w:t xml:space="preserve"> A indisponibilidade ou o atraso no fornecimento desses medicamentos pode resultar no descumprimento de ordens judiciais, no agravamento do quadro clínico dos pacientes e em prejuízos à Administração Pública, razão pela qual se faz necessária a adoção de mecanismo de contratação que assegure celeridade, continuidade e segurança jurídica no atendimento dessas demandas.</w:t>
      </w:r>
    </w:p>
    <w:p w14:paraId="7DF920FB">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1A05735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4. DESCRIÇÃO DA SOLUÇÃO COMO UM TODO CONSIDERADO O CICLO DE VIDA DO OBJETO E ESPECIFICAÇÃO DO PRODUTO. </w:t>
      </w:r>
    </w:p>
    <w:p w14:paraId="5E25F81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4.1.</w:t>
      </w:r>
      <w:r>
        <w:rPr>
          <w:rFonts w:ascii="Arial" w:hAnsi="Arial" w:cs="Arial"/>
          <w:sz w:val="17"/>
          <w:szCs w:val="17"/>
        </w:rPr>
        <w:t xml:space="preserve"> A solução proposta consiste na futura e eventual aquisição de medicamentos de A à Z – Referência (Éticos e Biológicos), Genéricos e Similares, destinados ao atendimento das demandas judiciais da Secretaria Municipal de Saúde de Cataguases/MG, por meio de fornecimento conforme a necessidade, respeitando-se os limites de validade, as condições adequadas de armazenamento, transporte e dispensação, de modo a assegurar a eficácia terapêutica dos produtos ao longo de seu ciclo de vida.</w:t>
      </w:r>
    </w:p>
    <w:p w14:paraId="71AC5CE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4.2.</w:t>
      </w:r>
      <w:r>
        <w:rPr>
          <w:rFonts w:ascii="Arial" w:hAnsi="Arial" w:cs="Arial"/>
          <w:sz w:val="17"/>
          <w:szCs w:val="17"/>
        </w:rPr>
        <w:t xml:space="preserve"> A contratação será realizada por meio de processo licitatório, na modalidade Pregão Eletrônico, pelo Sistema de Registro de Preços, do tipo Maior Percentual de Desconto por item sobre a tabela CMED/ANVISA no PMVG (Preço Máximo de Venda ao Governo), observando-se as condições e exigências estabelecidas neste Termo de Referência e na Lei Federal nº 14.133/2021, assegurando competitividade, transparência e a seleção da proposta mais vantajosa para a Administração.</w:t>
      </w:r>
    </w:p>
    <w:p w14:paraId="7C74169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4.3.</w:t>
      </w:r>
      <w:r>
        <w:rPr>
          <w:rFonts w:ascii="Arial" w:hAnsi="Arial" w:cs="Arial"/>
          <w:sz w:val="17"/>
          <w:szCs w:val="17"/>
        </w:rPr>
        <w:t xml:space="preserve"> A solução adotada promove a economicidade, a eficiência e a continuidade do serviço público, uma vez que a utilização do Sistema de Registro de Preços possibilita aquisições parceladas, evita a formação de estoques desnecessários, reduz riscos de vencimento de medicamentos e permite resposta célere às ordens judiciais, contribuindo para a adequada aplicação dos recursos públicos.</w:t>
      </w:r>
    </w:p>
    <w:p w14:paraId="0C93FD5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4.4.</w:t>
      </w:r>
      <w:r>
        <w:rPr>
          <w:rFonts w:ascii="Arial" w:hAnsi="Arial" w:cs="Arial"/>
          <w:sz w:val="17"/>
          <w:szCs w:val="17"/>
        </w:rPr>
        <w:t xml:space="preserve"> Com a implementação desta solução, busca-se garantir agilidade no atendimento das demandas judiciais, segurança no fornecimento dos medicamentos prescritos, observância aos preços máximos estabelecidos pela CMED/ANVISA e suporte às ações desenvolvidas pela Secretaria Municipal de Saúde, assegurando a efetividade das políticas públicas de assistência farmacêutica e o cumprimento das determinações judiciais.</w:t>
      </w:r>
    </w:p>
    <w:p w14:paraId="0D8BD3B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2469F18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5. REQUISITOS DA CONTRATAÇÃO</w:t>
      </w:r>
    </w:p>
    <w:p w14:paraId="0F62BCFB">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5.1.</w:t>
      </w:r>
      <w:r>
        <w:rPr>
          <w:rFonts w:ascii="Arial" w:hAnsi="Arial" w:cs="Arial"/>
          <w:sz w:val="17"/>
          <w:szCs w:val="17"/>
        </w:rPr>
        <w:t xml:space="preserve"> A empresa contratada deverá atender aos seguintes requisitos mínimos para o fornecimento de medicamentos, abrangendo Referência (Éticos e Biológicos), Genéricos e Similares, destinados ao atendimento das demandas judiciais da Secretaria Municipal de Saúde de Cataguases/MG, conforme as condições, especificações técnicas e exigências estabelecidas neste Termo de Referência.</w:t>
      </w:r>
    </w:p>
    <w:p w14:paraId="59F897D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a) Qualidade e Segurança:</w:t>
      </w:r>
      <w:r>
        <w:rPr>
          <w:rFonts w:ascii="Arial" w:hAnsi="Arial" w:cs="Arial"/>
          <w:sz w:val="17"/>
          <w:szCs w:val="17"/>
        </w:rPr>
        <w:t xml:space="preserve"> Os medicamentos devem ser provenientes de fabricantes idôneos e com comprovação de qualidade, garantindo a segurança dos pacientes.</w:t>
      </w:r>
    </w:p>
    <w:p w14:paraId="30E6D95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b) Diversidade de Itens:</w:t>
      </w:r>
      <w:r>
        <w:rPr>
          <w:rFonts w:ascii="Arial" w:hAnsi="Arial" w:cs="Arial"/>
          <w:sz w:val="17"/>
          <w:szCs w:val="17"/>
        </w:rPr>
        <w:t xml:space="preserve"> A contratação deve abranger uma ampla gama de medicamentos, incluindo Referência (Éticos e Biológicos), Genéricos e Similares, para atender às diversas demandas judiciais.</w:t>
      </w:r>
    </w:p>
    <w:p w14:paraId="232CD99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c) Prazo de Entrega:</w:t>
      </w:r>
      <w:r>
        <w:rPr>
          <w:rFonts w:ascii="Arial" w:hAnsi="Arial" w:cs="Arial"/>
          <w:sz w:val="17"/>
          <w:szCs w:val="17"/>
        </w:rPr>
        <w:t xml:space="preserve"> Os medicamentos devem ser entregues em prazos compatíveis com as necessidades dos pacientes, evitando interrupções no tratamento.</w:t>
      </w:r>
    </w:p>
    <w:p w14:paraId="0AA345E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d) Armazenamento e Distribuição:</w:t>
      </w:r>
      <w:r>
        <w:rPr>
          <w:rFonts w:ascii="Arial" w:hAnsi="Arial" w:cs="Arial"/>
          <w:sz w:val="17"/>
          <w:szCs w:val="17"/>
        </w:rPr>
        <w:t xml:space="preserve"> Os medicamentos devem ser entregues em condições adequadas de armazenamento, conforme as especificações técnicas de cada produto.</w:t>
      </w:r>
    </w:p>
    <w:p w14:paraId="34BE5C0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e) Desconto sobre o Preço Máximo de Venda ao Governo (PMVG):</w:t>
      </w:r>
      <w:r>
        <w:rPr>
          <w:rFonts w:ascii="Arial" w:hAnsi="Arial" w:cs="Arial"/>
          <w:sz w:val="17"/>
          <w:szCs w:val="17"/>
        </w:rPr>
        <w:t xml:space="preserve"> A contratação será realizada com base no maior percentual de desconto por item sobre a tabela CMED/Anvisa no PMVG, garantindo economicidade.</w:t>
      </w:r>
    </w:p>
    <w:p w14:paraId="05DE5F7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f) Prazo de Validade:</w:t>
      </w:r>
      <w:r>
        <w:rPr>
          <w:rFonts w:ascii="Arial" w:hAnsi="Arial" w:cs="Arial"/>
          <w:sz w:val="17"/>
          <w:szCs w:val="17"/>
        </w:rPr>
        <w:t xml:space="preserve"> Os produtos deverão ter validade de 2 (dois) anos ou, no mínimo, 80% (oitenta por cento) do prazo de validade constante na data da fabricação, produção ou envase, contados a partir da data de entrega/recebimento do produto no município.</w:t>
      </w:r>
    </w:p>
    <w:p w14:paraId="3F009AD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5.2. Sustentabilidade </w:t>
      </w:r>
    </w:p>
    <w:p w14:paraId="1541F33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5.2.1.</w:t>
      </w:r>
      <w:r>
        <w:rPr>
          <w:rFonts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1E1B6FA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5.3. Subcontratação </w:t>
      </w:r>
    </w:p>
    <w:p w14:paraId="1D970CC6">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5.3.1.</w:t>
      </w:r>
      <w:r>
        <w:rPr>
          <w:rFonts w:ascii="Arial" w:hAnsi="Arial" w:cs="Arial"/>
          <w:sz w:val="17"/>
          <w:szCs w:val="17"/>
        </w:rPr>
        <w:t xml:space="preserve"> É vedada a subcontratação.</w:t>
      </w:r>
    </w:p>
    <w:p w14:paraId="46D1B6C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5.4. Garantia da Contratação</w:t>
      </w:r>
    </w:p>
    <w:p w14:paraId="765D1E7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5.4.1.</w:t>
      </w:r>
      <w:r>
        <w:rPr>
          <w:rFonts w:ascii="Arial" w:hAnsi="Arial" w:cs="Arial"/>
          <w:sz w:val="17"/>
          <w:szCs w:val="17"/>
        </w:rPr>
        <w:t xml:space="preserve"> Não será exigida garantia de execução da contratação para esse objeto.</w:t>
      </w:r>
    </w:p>
    <w:p w14:paraId="6D66D44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5.5. Da Indicação de Marcas ou Modelos </w:t>
      </w:r>
    </w:p>
    <w:p w14:paraId="1CEBB82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5.5.1.</w:t>
      </w:r>
      <w:r>
        <w:rPr>
          <w:rFonts w:ascii="Arial" w:hAnsi="Arial" w:cs="Arial"/>
          <w:sz w:val="17"/>
          <w:szCs w:val="17"/>
        </w:rPr>
        <w:t xml:space="preserve"> Não se aplica neste caso.</w:t>
      </w:r>
    </w:p>
    <w:p w14:paraId="1A03DDA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5.6. Da Amostra</w:t>
      </w:r>
    </w:p>
    <w:p w14:paraId="215BE9D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5.6.1.</w:t>
      </w:r>
      <w:r>
        <w:rPr>
          <w:rFonts w:ascii="Arial" w:hAnsi="Arial" w:cs="Arial"/>
          <w:sz w:val="17"/>
          <w:szCs w:val="17"/>
        </w:rPr>
        <w:t xml:space="preserve"> Para esta aquisição não será exigido o envio prévio de amostras, desde que os produtos atendam a todas as especificações estabelecidas neste Termo de Referência.</w:t>
      </w:r>
    </w:p>
    <w:p w14:paraId="128B4B3B">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6301BF3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6. MODELO DE EXECUÇÃO DO OBJETO</w:t>
      </w:r>
      <w:r>
        <w:rPr>
          <w:rFonts w:ascii="Arial" w:hAnsi="Arial" w:cs="Arial"/>
          <w:b/>
          <w:sz w:val="17"/>
          <w:szCs w:val="17"/>
        </w:rPr>
        <w:tab/>
      </w:r>
    </w:p>
    <w:p w14:paraId="5510826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6.1.</w:t>
      </w:r>
      <w:r>
        <w:rPr>
          <w:rFonts w:ascii="Arial" w:hAnsi="Arial" w:cs="Arial"/>
          <w:sz w:val="17"/>
          <w:szCs w:val="17"/>
        </w:rPr>
        <w:t xml:space="preserve"> O fornecimento dos medicamentos ocorrerá sob demanda, durante a vigência da Ata de Registro de Preços, mediante emissão de Autorização de Fornecimento pela Administração, a qual conterá a descrição dos medicamentos, os quantitativos, o local de entrega e demais informações necessárias ao atendimento da demanda judicial.</w:t>
      </w:r>
    </w:p>
    <w:p w14:paraId="7568A8AC">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6.2.</w:t>
      </w:r>
      <w:r>
        <w:rPr>
          <w:rFonts w:ascii="Arial" w:hAnsi="Arial" w:cs="Arial"/>
          <w:sz w:val="17"/>
          <w:szCs w:val="17"/>
        </w:rPr>
        <w:t xml:space="preserve"> A Contratada deverá atender integralmente à Autorização de Fornecimento emitida, respeitando os quantitativos, especificações e local de entrega indicados, não sendo admitido fornecimento parcial, salvo quando expressamente autorizado pela Administração.</w:t>
      </w:r>
    </w:p>
    <w:p w14:paraId="4B1BD23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6.3.</w:t>
      </w:r>
      <w:r>
        <w:rPr>
          <w:rFonts w:ascii="Arial" w:hAnsi="Arial" w:cs="Arial"/>
          <w:sz w:val="17"/>
          <w:szCs w:val="17"/>
        </w:rPr>
        <w:t xml:space="preserve"> O prazo máximo para a entrega dos medicamentos será aquele definido na Autorização de Fornecimento, devendo ser compatível com a urgência do tratamento, observado o limite máximo de até 10 (dez) dias corridos, contados a partir do envio da respectiva autorização, salvo disposição diversa devidamente justificada e aceita pela Administração.</w:t>
      </w:r>
    </w:p>
    <w:p w14:paraId="055C21AF">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6.4.</w:t>
      </w:r>
      <w:r>
        <w:rPr>
          <w:rFonts w:ascii="Arial" w:hAnsi="Arial" w:cs="Arial"/>
          <w:sz w:val="17"/>
          <w:szCs w:val="17"/>
        </w:rPr>
        <w:t xml:space="preserve"> Caso não seja possível o cumprimento do prazo estabelecido, a Contratada deverá comunicar formalmente à Administração, apresentando as devidas justificativas, com antecedência mínima de 02 (dois) dias, para fins de análise e eventual autorização de prorrogação de prazo.</w:t>
      </w:r>
    </w:p>
    <w:p w14:paraId="3A84F5A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6.5.</w:t>
      </w:r>
      <w:r>
        <w:rPr>
          <w:rFonts w:ascii="Arial" w:hAnsi="Arial" w:cs="Arial"/>
          <w:sz w:val="17"/>
          <w:szCs w:val="17"/>
        </w:rPr>
        <w:t xml:space="preserve"> Os medicamentos entregues que não atenderem às especificações técnicas, prazos de validade ou condições de acondicionamento exigidas neste Termo de Referência não serão aceitos, devendo a Contratada proceder à substituição dos produtos no prazo máximo de 05 (cinco) dias, sem ônus adicional para a Administração.</w:t>
      </w:r>
    </w:p>
    <w:p w14:paraId="19D1525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6.6.</w:t>
      </w:r>
      <w:r>
        <w:rPr>
          <w:rFonts w:ascii="Arial" w:hAnsi="Arial" w:cs="Arial"/>
          <w:sz w:val="17"/>
          <w:szCs w:val="17"/>
        </w:rPr>
        <w:t xml:space="preserve"> A entrega dos medicamentos deverá ser formalizada mediante apresentação da nota fiscal correspondente, acompanhada, quando aplicável, de documentação técnica exigida pelos órgãos reguladores, observadas as normas sanitárias vigentes.</w:t>
      </w:r>
    </w:p>
    <w:p w14:paraId="0E51072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6.7.</w:t>
      </w:r>
      <w:r>
        <w:rPr>
          <w:rFonts w:ascii="Arial" w:hAnsi="Arial" w:cs="Arial"/>
          <w:sz w:val="17"/>
          <w:szCs w:val="17"/>
        </w:rPr>
        <w:t xml:space="preserve"> A entrega dos medicamentos deverá ocorrer no horário compreendido entre 07h00 e 16h00, exclusivamente em dias úteis, no local indicado pela Administração, salvo autorização expressa em contrário.</w:t>
      </w:r>
    </w:p>
    <w:p w14:paraId="20D72D2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558B854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7.  MODELO DE GESTÃO DO CONTRATO</w:t>
      </w:r>
    </w:p>
    <w:p w14:paraId="6485048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7.1.  </w:t>
      </w:r>
      <w:r>
        <w:rPr>
          <w:rFonts w:ascii="Arial" w:hAnsi="Arial" w:cs="Arial"/>
          <w:b/>
          <w:sz w:val="17"/>
          <w:szCs w:val="17"/>
        </w:rPr>
        <w:tab/>
      </w:r>
      <w:r>
        <w:rPr>
          <w:rFonts w:ascii="Arial" w:hAnsi="Arial" w:cs="Arial"/>
          <w:b/>
          <w:sz w:val="17"/>
          <w:szCs w:val="17"/>
        </w:rPr>
        <w:t>Das Obrigações da Contratada</w:t>
      </w:r>
    </w:p>
    <w:p w14:paraId="5E0AB18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7.1.1.</w:t>
      </w:r>
      <w:r>
        <w:rPr>
          <w:rFonts w:ascii="Arial" w:hAnsi="Arial" w:cs="Arial"/>
          <w:sz w:val="17"/>
          <w:szCs w:val="17"/>
        </w:rPr>
        <w:t xml:space="preserve"> Fornecer os medicamentos objeto deste Termo de Referência em conformidade com as especificações técnicas, condições estabelecidas e com as Autorizações de Fornecimento emitidas pela Contratante.</w:t>
      </w:r>
    </w:p>
    <w:p w14:paraId="5B49CB7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7.1.2.</w:t>
      </w:r>
      <w:r>
        <w:rPr>
          <w:rFonts w:ascii="Arial" w:hAnsi="Arial" w:cs="Arial"/>
          <w:sz w:val="17"/>
          <w:szCs w:val="17"/>
        </w:rPr>
        <w:t xml:space="preserve"> Atender integralmente às solicitações da Administração, observando os prazos, locais e condições estabelecidos, não sendo admitido o fornecimento parcial do objeto autorizado, salvo quando expressamente autorizado pela Contratante.</w:t>
      </w:r>
    </w:p>
    <w:p w14:paraId="390F168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7.1.3.</w:t>
      </w:r>
      <w:r>
        <w:rPr>
          <w:rFonts w:ascii="Arial" w:hAnsi="Arial" w:cs="Arial"/>
          <w:sz w:val="17"/>
          <w:szCs w:val="17"/>
        </w:rPr>
        <w:t xml:space="preserve"> Disponibilizar, quando aplicável, documentação técnica, tais como registros sanitários, laudos, certificados de qualidade, comprovantes de regularidade junto aos órgãos competentes e informações relativas à validade, lote e procedência dos medicamentos fornecidos.</w:t>
      </w:r>
    </w:p>
    <w:p w14:paraId="12E1114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7.1.4.</w:t>
      </w:r>
      <w:r>
        <w:rPr>
          <w:rFonts w:ascii="Arial" w:hAnsi="Arial" w:cs="Arial"/>
          <w:sz w:val="17"/>
          <w:szCs w:val="17"/>
        </w:rPr>
        <w:t xml:space="preserve"> Prestar, sempre que solicitado, informações e esclarecimentos relativos ao fornecimento dos medicamentos, comunicando imediatamente à Contratante qualquer ocorrência que possa comprometer a qualidade, a segurança dos produtos ou o cumprimento dos prazos de entrega.</w:t>
      </w:r>
    </w:p>
    <w:p w14:paraId="5F6022B6">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7.1.5.</w:t>
      </w:r>
      <w:r>
        <w:rPr>
          <w:rFonts w:ascii="Arial" w:hAnsi="Arial" w:cs="Arial"/>
          <w:sz w:val="17"/>
          <w:szCs w:val="17"/>
        </w:rPr>
        <w:t xml:space="preserve"> Responsabilizar-se por todos os custos decorrentes da execução do objeto, incluindo despesas operacionais, logísticas, administrativas, trabalhistas, tributárias, seguros, transporte, armazenamento e demais encargos necessários ao fiel cumprimento das obrigações contratuais.</w:t>
      </w:r>
    </w:p>
    <w:p w14:paraId="0620852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7.1.6.</w:t>
      </w:r>
      <w:r>
        <w:rPr>
          <w:rFonts w:ascii="Arial" w:hAnsi="Arial" w:cs="Arial"/>
          <w:sz w:val="17"/>
          <w:szCs w:val="17"/>
        </w:rPr>
        <w:t xml:space="preserve"> Substituir, às suas expensas, os medicamentos fornecidos em desconformidade com as especificações técnicas, com prazo de validade inadequado ou que apresentem avarias, vícios, defeitos ou qualquer irregularidade, sem prejuízo da aplicação das penalidades cabíveis.</w:t>
      </w:r>
    </w:p>
    <w:p w14:paraId="289FCA6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7.1.7.</w:t>
      </w:r>
      <w:r>
        <w:rPr>
          <w:rFonts w:ascii="Arial" w:hAnsi="Arial" w:cs="Arial"/>
          <w:sz w:val="17"/>
          <w:szCs w:val="17"/>
        </w:rPr>
        <w:t xml:space="preserve"> O recebimento definitivo dos medicamentos não eximirá a Contratada das responsabilidades relativas à qualidade, segurança, validade e conformidade dos produtos fornecidos, bem como de eventuais vícios identificados posteriormente.</w:t>
      </w:r>
    </w:p>
    <w:p w14:paraId="1524D0F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7.2. Das Obrigações da Contratante</w:t>
      </w:r>
    </w:p>
    <w:p w14:paraId="4070B39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7.2.1.</w:t>
      </w:r>
      <w:r>
        <w:rPr>
          <w:rFonts w:ascii="Arial" w:hAnsi="Arial" w:cs="Arial"/>
          <w:sz w:val="17"/>
          <w:szCs w:val="17"/>
        </w:rPr>
        <w:t xml:space="preserve"> Promover o acompanhamento e a fiscalização da entrega do objeto da aquisição.</w:t>
      </w:r>
    </w:p>
    <w:p w14:paraId="3EA6CCB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7.2.2.</w:t>
      </w:r>
      <w:r>
        <w:rPr>
          <w:rFonts w:ascii="Arial" w:hAnsi="Arial" w:cs="Arial"/>
          <w:sz w:val="17"/>
          <w:szCs w:val="17"/>
        </w:rPr>
        <w:t xml:space="preserve"> Prestar informações, relativas ao objeto da aquisição, que venham a ser solicitadas pela licitante vencedora.</w:t>
      </w:r>
    </w:p>
    <w:p w14:paraId="2007B9E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7.2.3.</w:t>
      </w:r>
      <w:r>
        <w:rPr>
          <w:rFonts w:ascii="Arial" w:hAnsi="Arial" w:cs="Arial"/>
          <w:sz w:val="17"/>
          <w:szCs w:val="17"/>
        </w:rPr>
        <w:t xml:space="preserve"> Efetuar o pagamento do valor constante na nota fiscal/fatura, em até 30 (trinta) dias consecutivos após o recebimento da mesma, devidamente atestada.</w:t>
      </w:r>
    </w:p>
    <w:p w14:paraId="6372D82F">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7.2.4.</w:t>
      </w:r>
      <w:r>
        <w:rPr>
          <w:rFonts w:ascii="Arial" w:hAnsi="Arial" w:cs="Arial"/>
          <w:sz w:val="17"/>
          <w:szCs w:val="17"/>
        </w:rPr>
        <w:t xml:space="preserve"> Rejeitar o (s) produto (s) e/ou que não satisfizerem aos padrões exigidos nas especificações e recomendações da contratante.</w:t>
      </w:r>
    </w:p>
    <w:p w14:paraId="47DC6F0C">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7.2.5.</w:t>
      </w:r>
      <w:r>
        <w:rPr>
          <w:rFonts w:ascii="Arial" w:hAnsi="Arial" w:cs="Arial"/>
          <w:sz w:val="17"/>
          <w:szCs w:val="17"/>
        </w:rPr>
        <w:t xml:space="preserve"> Notificar a CONTRATADA, por escrito, quando não efetuar a entrega do(s) iten(s), após 15 (quinze) dias corridos da geração da Solicitação de Fornecimento.</w:t>
      </w:r>
    </w:p>
    <w:p w14:paraId="6E9CEF6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7.2.6.</w:t>
      </w:r>
      <w:r>
        <w:rPr>
          <w:rFonts w:ascii="Arial" w:hAnsi="Arial" w:cs="Arial"/>
          <w:sz w:val="17"/>
          <w:szCs w:val="17"/>
        </w:rPr>
        <w:t xml:space="preserve"> Notificar a CONTRATADA, por escrito, de quaisquer irregularidades que venham a ocorrer, em função da prestação do objeto do contrato.</w:t>
      </w:r>
    </w:p>
    <w:p w14:paraId="1113AD5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7.2.7.</w:t>
      </w:r>
      <w:r>
        <w:rPr>
          <w:rFonts w:ascii="Arial" w:hAnsi="Arial" w:cs="Arial"/>
          <w:sz w:val="17"/>
          <w:szCs w:val="17"/>
        </w:rPr>
        <w:t xml:space="preserve"> Cumprir e fazer-se cumprir o disposto nas cláusulas deste Termo de Referência.</w:t>
      </w:r>
    </w:p>
    <w:p w14:paraId="35EEFDA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3AECC6E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8. DA FISCALIZAÇÃO DO CONTRATO</w:t>
      </w:r>
    </w:p>
    <w:p w14:paraId="28977AE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8.1.</w:t>
      </w:r>
      <w:r>
        <w:rPr>
          <w:rFonts w:ascii="Arial" w:hAnsi="Arial" w:cs="Arial"/>
          <w:sz w:val="17"/>
          <w:szCs w:val="17"/>
        </w:rPr>
        <w:t xml:space="preserve"> A execução do contrato deverá ser acompanhada e fiscalizada pelos fiscais do contrato ou pelos respectivos substitutos que vierem a ser nomeados pela Administração, a saber:</w:t>
      </w:r>
    </w:p>
    <w:p w14:paraId="565230AD">
      <w:pPr>
        <w:pStyle w:val="220"/>
        <w:keepNext w:val="0"/>
        <w:keepLines w:val="0"/>
        <w:pageBreakBefore w:val="0"/>
        <w:widowControl/>
        <w:numPr>
          <w:ilvl w:val="0"/>
          <w:numId w:val="18"/>
        </w:numPr>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Natália da Silva Gonçalves Samel</w:t>
      </w:r>
    </w:p>
    <w:p w14:paraId="2A22515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8.2.</w:t>
      </w:r>
      <w:r>
        <w:rPr>
          <w:rFonts w:ascii="Arial" w:hAnsi="Arial" w:cs="Arial"/>
          <w:sz w:val="17"/>
          <w:szCs w:val="17"/>
        </w:rPr>
        <w:t xml:space="preserve"> A CONTRATADA deverá permitir e facilitar, a qualquer tempo, a fiscalização do fornecimento dos medicamentos, garantindo livre acesso às informações, documentos fiscais e técnicos, registros sanitários e demais elementos relacionados ao objeto contratado, sem que isso implique transferência de responsabilidade à Administração.</w:t>
      </w:r>
    </w:p>
    <w:p w14:paraId="0198219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8.3.</w:t>
      </w:r>
      <w:r>
        <w:rPr>
          <w:rFonts w:ascii="Arial" w:hAnsi="Arial" w:cs="Arial"/>
          <w:sz w:val="17"/>
          <w:szCs w:val="17"/>
        </w:rPr>
        <w:t xml:space="preserve"> A fiscalização não exclui nem reduz a responsabilidade da CONTRATADA quanto à qualidade, segurança, validade, procedência, armazenamento e conformidade técnica dos medicamentos fornecidos. Compete ao gestor do contrato o controle administrativo e documental da execução, e ao fiscal designado a verificação do fornecimento e o atesto das notas fiscais correspondentes.</w:t>
      </w:r>
    </w:p>
    <w:p w14:paraId="4CC1553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8.4.</w:t>
      </w:r>
      <w:r>
        <w:rPr>
          <w:rFonts w:ascii="Arial" w:hAnsi="Arial" w:cs="Arial"/>
          <w:sz w:val="17"/>
          <w:szCs w:val="17"/>
        </w:rPr>
        <w:t xml:space="preserve"> O fiscal do contrato deverá registrar todas as ocorrências relevantes relacionadas à execução do fornecimento e adotar as providências necessárias à correção de falhas, comunicando a autoridade competente sempre que necessário. A fiscalização exercida pela Administração não exime a CONTRATADA de suas responsabilidades legais e contratuais, nos termos da Lei Federal nº 14.133/2021.</w:t>
      </w:r>
    </w:p>
    <w:p w14:paraId="16C801D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2FEF4F3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9. CRITÉRIOS DE MEDIÇÃO E PAGAMENTO</w:t>
      </w:r>
    </w:p>
    <w:p w14:paraId="0ABEACD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9.1. Recebimento</w:t>
      </w:r>
    </w:p>
    <w:p w14:paraId="4FF9DFB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9.1.1.</w:t>
      </w:r>
      <w:r>
        <w:rPr>
          <w:rFonts w:ascii="Arial" w:hAnsi="Arial" w:cs="Arial"/>
          <w:sz w:val="17"/>
          <w:szCs w:val="17"/>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007617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9.1.2.</w:t>
      </w:r>
      <w:r>
        <w:rPr>
          <w:rFonts w:ascii="Arial" w:hAnsi="Arial" w:cs="Arial"/>
          <w:sz w:val="17"/>
          <w:szCs w:val="17"/>
        </w:rPr>
        <w:t xml:space="preserve"> O fornecimento do objeto será de forma Parcelada.</w:t>
      </w:r>
    </w:p>
    <w:p w14:paraId="7633F09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9.2. Liquidação</w:t>
      </w:r>
    </w:p>
    <w:p w14:paraId="41A1DE8C">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9.2.1.</w:t>
      </w:r>
      <w:r>
        <w:rPr>
          <w:rFonts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máximo de 02 dias úteis.</w:t>
      </w:r>
    </w:p>
    <w:p w14:paraId="79E366E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9.2.2.</w:t>
      </w:r>
      <w:r>
        <w:rPr>
          <w:rFonts w:ascii="Arial" w:hAnsi="Arial" w:cs="Arial"/>
          <w:sz w:val="17"/>
          <w:szCs w:val="17"/>
        </w:rPr>
        <w:t xml:space="preserve"> Caso a contratada não apresente carta de correção no prazo estipulado, o prazo para pagamento será recontado, a partir da data de sua apresentação.</w:t>
      </w:r>
    </w:p>
    <w:p w14:paraId="23F018D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9.3. Pagamento</w:t>
      </w:r>
    </w:p>
    <w:p w14:paraId="4CF5D76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9.3.1.</w:t>
      </w:r>
      <w:r>
        <w:rPr>
          <w:rFonts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37D043B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0E56835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10. FORMA E CRITÉRIOS DE SELEÇÃO DO FORNECEDOR</w:t>
      </w:r>
    </w:p>
    <w:p w14:paraId="27F83A3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10.1.</w:t>
      </w:r>
      <w:r>
        <w:rPr>
          <w:rFonts w:ascii="Arial" w:hAnsi="Arial" w:cs="Arial"/>
          <w:sz w:val="17"/>
          <w:szCs w:val="17"/>
        </w:rPr>
        <w:t xml:space="preserve"> O fornecedor será selecionado por meio da realização de procedimento de LICITAÇÃO, na modalidade PREGÃO, (Lei 14.133/2021), para REGISTRO DE PREÇOS, sob a forma ELETRÔNICA, com adoção do critério de julgamento pelo MAIOR PERCENTUAL DE DESCONTO POR ITEM, de forma Parcelada, com base nos parâmetros da Lei 14.133/2021.</w:t>
      </w:r>
    </w:p>
    <w:p w14:paraId="78DDA1D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10.2. Da Habilitação Jurídica, Fiscal, Social, Trabalhista e Econômico-financeira</w:t>
      </w:r>
    </w:p>
    <w:p w14:paraId="6995F9AF">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10.2.1.</w:t>
      </w:r>
      <w:r>
        <w:rPr>
          <w:rFonts w:ascii="Arial" w:hAnsi="Arial" w:cs="Arial"/>
          <w:sz w:val="17"/>
          <w:szCs w:val="17"/>
        </w:rPr>
        <w:t xml:space="preserve"> Os documentos necessários para habilitação do fornecedor se encontrarão descritos em tópico específico contido no edital.</w:t>
      </w:r>
    </w:p>
    <w:p w14:paraId="3998AD4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10.3. Qualificação Técnica</w:t>
      </w:r>
    </w:p>
    <w:p w14:paraId="313C5C8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10.3.1.</w:t>
      </w:r>
      <w:r>
        <w:rPr>
          <w:rFonts w:ascii="Arial" w:hAnsi="Arial" w:cs="Arial"/>
          <w:sz w:val="17"/>
          <w:szCs w:val="17"/>
        </w:rPr>
        <w:t xml:space="preserve"> 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73B76C4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10.3.2.</w:t>
      </w:r>
      <w:r>
        <w:rPr>
          <w:rFonts w:ascii="Arial" w:hAnsi="Arial" w:cs="Arial"/>
          <w:sz w:val="17"/>
          <w:szCs w:val="17"/>
        </w:rPr>
        <w:t xml:space="preserve"> Os atestados de capacidade técnica poderão ser apresentados em nome da matriz ou da filial do fornecedor.</w:t>
      </w:r>
      <w:r>
        <w:rPr>
          <w:rFonts w:ascii="Arial" w:hAnsi="Arial" w:cs="Arial"/>
          <w:b/>
          <w:sz w:val="17"/>
          <w:szCs w:val="17"/>
        </w:rPr>
        <w:t xml:space="preserve"> </w:t>
      </w:r>
    </w:p>
    <w:p w14:paraId="5EC2D96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10.3.3.</w:t>
      </w:r>
      <w:r>
        <w:rPr>
          <w:rFonts w:ascii="Arial" w:hAnsi="Arial" w:cs="Arial"/>
          <w:sz w:val="17"/>
          <w:szCs w:val="17"/>
        </w:rPr>
        <w:t xml:space="preserve"> 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w:t>
      </w:r>
    </w:p>
    <w:p w14:paraId="521FF3C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Arial" w:hAnsi="Arial" w:cs="Arial"/>
          <w:sz w:val="17"/>
          <w:szCs w:val="17"/>
          <w:lang w:val="pt-BR"/>
        </w:rPr>
      </w:pPr>
    </w:p>
    <w:p w14:paraId="3564C0D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Arial" w:hAnsi="Arial" w:cs="Arial"/>
          <w:sz w:val="17"/>
          <w:szCs w:val="17"/>
          <w:lang w:val="pt-BR"/>
        </w:rPr>
      </w:pPr>
    </w:p>
    <w:p w14:paraId="0481EFF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Arial" w:hAnsi="Arial" w:cs="Arial"/>
          <w:sz w:val="17"/>
          <w:szCs w:val="17"/>
          <w:lang w:val="pt-BR"/>
        </w:rPr>
      </w:pPr>
    </w:p>
    <w:p w14:paraId="741C3CC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11. ESTIMATIVAS DO VALOR DA CONTRATAÇÃO </w:t>
      </w:r>
    </w:p>
    <w:p w14:paraId="7A54AD1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11.1.</w:t>
      </w:r>
      <w:r>
        <w:rPr>
          <w:rFonts w:ascii="Arial" w:hAnsi="Arial" w:cs="Arial"/>
          <w:sz w:val="17"/>
          <w:szCs w:val="17"/>
        </w:rPr>
        <w:t xml:space="preserve"> Estima-se para a contratação almejada o valor total de R$ 390.000,00 (trezentos e noventa mil reais).</w:t>
      </w:r>
    </w:p>
    <w:p w14:paraId="1D81C6B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11.2.</w:t>
      </w:r>
      <w:r>
        <w:rPr>
          <w:rFonts w:ascii="Arial" w:hAnsi="Arial"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576C9C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16B22A16">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12. DA VIGÊNCIA</w:t>
      </w:r>
    </w:p>
    <w:p w14:paraId="4C055746">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12.1.</w:t>
      </w:r>
      <w:r>
        <w:rPr>
          <w:rFonts w:ascii="Arial" w:hAnsi="Arial" w:cs="Arial"/>
          <w:sz w:val="17"/>
          <w:szCs w:val="17"/>
        </w:rPr>
        <w:t xml:space="preserve"> O prazo de vigência da contratação será de 12 (doze) meses a contar da data de homologação do Contrato, podendo ser prorrogado, de acordo com a Lei vigente.</w:t>
      </w:r>
    </w:p>
    <w:p w14:paraId="7BA7424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03F1E4A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b/>
          <w:sz w:val="17"/>
          <w:szCs w:val="17"/>
        </w:rPr>
      </w:pPr>
      <w:r>
        <w:rPr>
          <w:rFonts w:ascii="Arial" w:hAnsi="Arial" w:cs="Arial"/>
          <w:b/>
          <w:sz w:val="17"/>
          <w:szCs w:val="17"/>
        </w:rPr>
        <w:t xml:space="preserve">13. ADEQUAÇÃO ORÇAMENTÁRIA </w:t>
      </w:r>
    </w:p>
    <w:p w14:paraId="71DCEA46">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b/>
          <w:sz w:val="17"/>
          <w:szCs w:val="17"/>
        </w:rPr>
        <w:t>13.1.</w:t>
      </w:r>
      <w:r>
        <w:rPr>
          <w:rFonts w:ascii="Arial" w:hAnsi="Arial" w:cs="Arial"/>
          <w:sz w:val="17"/>
          <w:szCs w:val="17"/>
        </w:rPr>
        <w:t xml:space="preserve"> As despesas decorrentes da presente contratação correrão por conta da dotação orçamentária do orçamento em vigor.</w:t>
      </w:r>
    </w:p>
    <w:p w14:paraId="43146DF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sz w:val="17"/>
          <w:szCs w:val="17"/>
        </w:rPr>
        <w:t xml:space="preserve">A contratação será atendida pelos seguintes centros de custos: </w:t>
      </w:r>
    </w:p>
    <w:p w14:paraId="01CADA2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sz w:val="17"/>
          <w:szCs w:val="17"/>
        </w:rPr>
        <w:t>CENTRO DE CUSTO</w:t>
      </w:r>
    </w:p>
    <w:p w14:paraId="57BCC3C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sz w:val="17"/>
          <w:szCs w:val="17"/>
        </w:rPr>
        <w:t xml:space="preserve">02.008 – Secretaria de Saúde </w:t>
      </w:r>
    </w:p>
    <w:p w14:paraId="7FB08C1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sz w:val="17"/>
          <w:szCs w:val="17"/>
        </w:rPr>
        <w:t xml:space="preserve">10.122.0000.0.008 – Cumprimento de Sentenças Judiciais na Área da Saúde. </w:t>
      </w:r>
    </w:p>
    <w:p w14:paraId="32FAB7BA">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r>
        <w:rPr>
          <w:rFonts w:ascii="Arial" w:hAnsi="Arial" w:cs="Arial"/>
          <w:sz w:val="17"/>
          <w:szCs w:val="17"/>
        </w:rPr>
        <w:t>3.3.90.91.00.00.00.00 01.0500 – Sentenças Judiciais (Ficha 330)</w:t>
      </w:r>
    </w:p>
    <w:p w14:paraId="79D9C5E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9"/>
        <w:gridCol w:w="5069"/>
      </w:tblGrid>
      <w:tr w14:paraId="0FE9A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9" w:type="dxa"/>
            <w:tcBorders>
              <w:top w:val="nil"/>
              <w:left w:val="nil"/>
              <w:bottom w:val="nil"/>
              <w:right w:val="nil"/>
            </w:tcBorders>
            <w:vAlign w:val="top"/>
          </w:tcPr>
          <w:p w14:paraId="42BEC9F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eastAsiaTheme="majorEastAsia"/>
                <w:bCs/>
                <w:sz w:val="17"/>
                <w:szCs w:val="17"/>
                <w:lang w:eastAsia="pt-BR"/>
              </w:rPr>
            </w:pP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t>__________________________</w:t>
            </w:r>
          </w:p>
          <w:p w14:paraId="076850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sz w:val="17"/>
                <w:szCs w:val="17"/>
              </w:rPr>
            </w:pPr>
            <w:r>
              <w:rPr>
                <w:rFonts w:ascii="Arial" w:hAnsi="Arial" w:cs="Arial"/>
                <w:sz w:val="17"/>
                <w:szCs w:val="17"/>
              </w:rPr>
              <w:t>Vinicius Franzoni Barbosa Ferreira</w:t>
            </w:r>
          </w:p>
          <w:p w14:paraId="7FCFA4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sz w:val="17"/>
                <w:szCs w:val="17"/>
                <w:lang w:eastAsia="pt-BR"/>
              </w:rPr>
            </w:pPr>
            <w:r>
              <w:rPr>
                <w:rFonts w:ascii="Arial" w:hAnsi="Arial" w:cs="Arial"/>
                <w:b/>
                <w:sz w:val="17"/>
                <w:szCs w:val="17"/>
              </w:rPr>
              <w:t>Secretário Municipal de Saúde</w:t>
            </w:r>
          </w:p>
        </w:tc>
        <w:tc>
          <w:tcPr>
            <w:tcW w:w="5069" w:type="dxa"/>
            <w:tcBorders>
              <w:top w:val="nil"/>
              <w:left w:val="nil"/>
              <w:bottom w:val="nil"/>
              <w:right w:val="nil"/>
            </w:tcBorders>
            <w:vAlign w:val="top"/>
          </w:tcPr>
          <w:p w14:paraId="6F3594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eastAsiaTheme="majorEastAsia"/>
                <w:bCs/>
                <w:sz w:val="17"/>
                <w:szCs w:val="17"/>
                <w:lang w:eastAsia="pt-BR"/>
              </w:rPr>
            </w:pP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t>__________________________</w:t>
            </w:r>
          </w:p>
          <w:p w14:paraId="75268F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sz w:val="17"/>
                <w:szCs w:val="17"/>
              </w:rPr>
            </w:pPr>
            <w:r>
              <w:rPr>
                <w:rFonts w:ascii="Arial" w:hAnsi="Arial" w:cs="Arial"/>
                <w:sz w:val="17"/>
                <w:szCs w:val="17"/>
              </w:rPr>
              <w:t>Ludmila Fontoura Nogueira de Castro</w:t>
            </w:r>
          </w:p>
          <w:p w14:paraId="3510228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sz w:val="17"/>
                <w:szCs w:val="17"/>
                <w:lang w:eastAsia="pt-BR"/>
              </w:rPr>
            </w:pPr>
            <w:r>
              <w:rPr>
                <w:rFonts w:ascii="Arial" w:hAnsi="Arial" w:cs="Arial" w:eastAsiaTheme="majorEastAsia"/>
                <w:b/>
                <w:bCs/>
                <w:sz w:val="17"/>
                <w:szCs w:val="17"/>
                <w:lang w:eastAsia="pt-BR"/>
              </w:rPr>
              <w:t>Elaboração do Termo de Referência</w:t>
            </w:r>
          </w:p>
        </w:tc>
      </w:tr>
      <w:tr w14:paraId="7078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2"/>
            <w:tcBorders>
              <w:top w:val="nil"/>
              <w:left w:val="nil"/>
              <w:bottom w:val="nil"/>
              <w:right w:val="nil"/>
            </w:tcBorders>
            <w:vAlign w:val="top"/>
          </w:tcPr>
          <w:p w14:paraId="032671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eastAsiaTheme="majorEastAsia"/>
                <w:bCs/>
                <w:sz w:val="17"/>
                <w:szCs w:val="17"/>
                <w:lang w:eastAsia="pt-BR"/>
              </w:rPr>
            </w:pP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softHyphen/>
            </w:r>
            <w:r>
              <w:rPr>
                <w:rFonts w:ascii="Arial" w:hAnsi="Arial" w:cs="Arial" w:eastAsiaTheme="majorEastAsia"/>
                <w:bCs/>
                <w:sz w:val="17"/>
                <w:szCs w:val="17"/>
                <w:lang w:eastAsia="pt-BR"/>
              </w:rPr>
              <w:t>__________________________</w:t>
            </w:r>
          </w:p>
          <w:p w14:paraId="48C9DA3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cs="Arial" w:eastAsiaTheme="majorEastAsia"/>
                <w:bCs/>
                <w:sz w:val="17"/>
                <w:szCs w:val="17"/>
                <w:lang w:val="pt-BR" w:eastAsia="pt-BR"/>
              </w:rPr>
            </w:pPr>
            <w:r>
              <w:rPr>
                <w:rFonts w:ascii="Arial" w:hAnsi="Arial" w:cs="Arial"/>
                <w:sz w:val="17"/>
                <w:szCs w:val="17"/>
              </w:rPr>
              <w:t>Natália da Silva Gonçalves Same</w:t>
            </w:r>
            <w:r>
              <w:rPr>
                <w:rFonts w:hint="default" w:ascii="Arial" w:hAnsi="Arial" w:cs="Arial"/>
                <w:sz w:val="17"/>
                <w:szCs w:val="17"/>
                <w:lang w:val="pt-BR"/>
              </w:rPr>
              <w:t>l</w:t>
            </w:r>
          </w:p>
          <w:p w14:paraId="3D81CB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cs="Arial" w:eastAsiaTheme="majorEastAsia"/>
                <w:bCs/>
                <w:sz w:val="17"/>
                <w:szCs w:val="17"/>
                <w:lang w:eastAsia="pt-BR"/>
              </w:rPr>
            </w:pPr>
            <w:r>
              <w:rPr>
                <w:rFonts w:ascii="Arial" w:hAnsi="Arial" w:cs="Arial" w:eastAsiaTheme="majorEastAsia"/>
                <w:b/>
                <w:bCs/>
                <w:sz w:val="17"/>
                <w:szCs w:val="17"/>
                <w:lang w:eastAsia="pt-BR"/>
              </w:rPr>
              <w:t>Fiscal do Contrato/ Sec. Saúde</w:t>
            </w:r>
          </w:p>
        </w:tc>
      </w:tr>
    </w:tbl>
    <w:p w14:paraId="789F9D3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cs="Arial"/>
          <w:sz w:val="17"/>
          <w:szCs w:val="17"/>
        </w:rPr>
      </w:pPr>
    </w:p>
    <w:p w14:paraId="72D23DE9">
      <w:pPr>
        <w:keepNext w:val="0"/>
        <w:keepLines w:val="0"/>
        <w:pageBreakBefore w:val="0"/>
        <w:widowControl/>
        <w:kinsoku/>
        <w:wordWrap/>
        <w:overflowPunct/>
        <w:topLinePunct w:val="0"/>
        <w:autoSpaceDE/>
        <w:autoSpaceDN/>
        <w:bidi w:val="0"/>
        <w:adjustRightInd/>
        <w:snapToGrid/>
        <w:spacing w:line="240" w:lineRule="auto"/>
        <w:ind w:left="0"/>
        <w:textAlignment w:val="auto"/>
        <w:rPr>
          <w:rFonts w:ascii="Arial" w:hAnsi="Arial" w:cs="Arial" w:eastAsiaTheme="majorEastAsia"/>
          <w:bCs/>
          <w:sz w:val="17"/>
          <w:szCs w:val="17"/>
          <w:lang w:eastAsia="pt-BR"/>
        </w:rPr>
      </w:pPr>
      <w:r>
        <w:rPr>
          <w:rFonts w:ascii="Arial" w:hAnsi="Arial" w:cs="Arial" w:eastAsiaTheme="majorEastAsia"/>
          <w:b/>
          <w:bCs/>
          <w:sz w:val="17"/>
          <w:szCs w:val="17"/>
          <w:lang w:eastAsia="pt-BR"/>
        </w:rPr>
        <w:t xml:space="preserve">                                                                 </w:t>
      </w:r>
    </w:p>
    <w:p w14:paraId="4556559D">
      <w:pPr>
        <w:spacing w:line="360" w:lineRule="auto"/>
        <w:jc w:val="both"/>
        <w:rPr>
          <w:rFonts w:ascii="Arial" w:hAnsi="Arial" w:cs="Arial"/>
          <w:sz w:val="24"/>
          <w:szCs w:val="24"/>
        </w:rPr>
      </w:pPr>
    </w:p>
    <w:p w14:paraId="0C4D1611">
      <w:pPr>
        <w:rPr>
          <w:rFonts w:ascii="Arial" w:hAnsi="Arial" w:cs="Arial"/>
          <w:b/>
          <w:sz w:val="32"/>
          <w:szCs w:val="32"/>
        </w:rPr>
      </w:pPr>
      <w:r>
        <w:rPr>
          <w:rFonts w:ascii="Arial" w:hAnsi="Arial" w:cs="Arial"/>
          <w:b/>
          <w:sz w:val="32"/>
          <w:szCs w:val="32"/>
        </w:rPr>
        <w:br w:type="page"/>
      </w: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007/2026</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002/2026</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002/2026</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MAIOR DESCONTO</w:t>
      </w:r>
      <w:r>
        <w:rPr>
          <w:rFonts w:ascii="Arial" w:hAnsi="Arial" w:cs="Arial"/>
          <w:sz w:val="18"/>
          <w:szCs w:val="18"/>
        </w:rPr>
        <w:t xml:space="preserve">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25 de fevereiro </w:t>
      </w:r>
      <w:r>
        <w:rPr>
          <w:rFonts w:ascii="Arial" w:hAnsi="Arial" w:cs="Arial"/>
          <w:b w:val="0"/>
          <w:bCs w:val="0"/>
          <w:sz w:val="18"/>
          <w:szCs w:val="18"/>
        </w:rPr>
        <w:t>de 202</w:t>
      </w:r>
      <w:r>
        <w:rPr>
          <w:rFonts w:hint="default" w:ascii="Arial" w:hAnsi="Arial" w:cs="Arial"/>
          <w:b w:val="0"/>
          <w:bCs w:val="0"/>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8499" w:type="dxa"/>
        <w:jc w:val="center"/>
        <w:tblLayout w:type="fixed"/>
        <w:tblCellMar>
          <w:top w:w="0" w:type="dxa"/>
          <w:left w:w="70" w:type="dxa"/>
          <w:bottom w:w="0" w:type="dxa"/>
          <w:right w:w="70" w:type="dxa"/>
        </w:tblCellMar>
      </w:tblPr>
      <w:tblGrid>
        <w:gridCol w:w="541"/>
        <w:gridCol w:w="4216"/>
        <w:gridCol w:w="3742"/>
      </w:tblGrid>
      <w:tr w14:paraId="0EDA150F">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3742"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hint="default" w:ascii="Arial" w:hAnsi="Arial"/>
                <w:b/>
                <w:bCs/>
                <w:kern w:val="2"/>
                <w:sz w:val="16"/>
                <w:szCs w:val="16"/>
              </w:rPr>
              <w:t>Percentual de  desconto  sobre a Tabela CMED/Anvisa no PMVG (Preço máximo de venda ao governo</w:t>
            </w:r>
          </w:p>
        </w:tc>
      </w:tr>
      <w:tr w14:paraId="500C3CE4">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6FF548A4">
            <w:pPr>
              <w:autoSpaceDE w:val="0"/>
              <w:autoSpaceDN w:val="0"/>
              <w:adjustRightInd w:val="0"/>
              <w:spacing w:after="0" w:line="240" w:lineRule="auto"/>
              <w:jc w:val="both"/>
              <w:rPr>
                <w:rFonts w:hint="default" w:ascii="Arial" w:hAnsi="Arial" w:eastAsia="Arial" w:cs="Arial"/>
                <w:sz w:val="16"/>
                <w:szCs w:val="16"/>
                <w:rtl w:val="0"/>
                <w:lang w:val="pt-BR" w:eastAsia="en-US"/>
              </w:rPr>
            </w:pPr>
            <w:r>
              <w:rPr>
                <w:rFonts w:hint="default" w:ascii="Arial" w:hAnsi="Arial" w:eastAsia="Arial" w:cs="Arial"/>
                <w:sz w:val="16"/>
                <w:szCs w:val="16"/>
                <w:rtl w:val="0"/>
                <w:lang w:val="en-US" w:eastAsia="pt-BR"/>
              </w:rPr>
              <w:t>Medicamentos REFERÊNCIA (ÉTICOS e BIOLÓGICOS) de “A à Z”, descritos na Tabela CMED/ANVISA – COLUNA – PMVG – ICMS 18%.</w:t>
            </w:r>
          </w:p>
        </w:tc>
        <w:tc>
          <w:tcPr>
            <w:tcW w:w="3742" w:type="dxa"/>
            <w:tcBorders>
              <w:top w:val="single" w:color="auto" w:sz="4" w:space="0"/>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3BF9AE4B">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E3F218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702A0887">
            <w:pPr>
              <w:autoSpaceDE w:val="0"/>
              <w:autoSpaceDN w:val="0"/>
              <w:adjustRightInd w:val="0"/>
              <w:spacing w:after="0" w:line="240" w:lineRule="auto"/>
              <w:jc w:val="both"/>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Medicamentos GENÉRICOS de “A à Z”, descritos na Tabela CMED/ANVISA – COLUNA PMVG – ICMS 18%.</w:t>
            </w:r>
          </w:p>
        </w:tc>
        <w:tc>
          <w:tcPr>
            <w:tcW w:w="3742" w:type="dxa"/>
            <w:tcBorders>
              <w:top w:val="single" w:color="auto" w:sz="4" w:space="0"/>
              <w:left w:val="single" w:color="auto" w:sz="4" w:space="0"/>
              <w:bottom w:val="single" w:color="auto" w:sz="4" w:space="0"/>
              <w:right w:val="single" w:color="auto" w:sz="4" w:space="0"/>
            </w:tcBorders>
          </w:tcPr>
          <w:p w14:paraId="0A7D1FBB">
            <w:pPr>
              <w:wordWrap w:val="0"/>
              <w:spacing w:after="0" w:line="240" w:lineRule="auto"/>
              <w:jc w:val="center"/>
              <w:rPr>
                <w:rFonts w:ascii="Arial" w:hAnsi="Arial" w:cs="Arial"/>
                <w:kern w:val="2"/>
                <w:sz w:val="16"/>
                <w:szCs w:val="16"/>
              </w:rPr>
            </w:pPr>
          </w:p>
        </w:tc>
      </w:tr>
      <w:tr w14:paraId="0B64F622">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5B28AFA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6893C9DE">
            <w:pPr>
              <w:autoSpaceDE w:val="0"/>
              <w:autoSpaceDN w:val="0"/>
              <w:adjustRightInd w:val="0"/>
              <w:spacing w:after="0" w:line="240" w:lineRule="auto"/>
              <w:jc w:val="both"/>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Medicamentos SIMILARES de “A à Z”, descritos na Tabela CMED/ANVISA – COLUNA – PMVG – ICMS 18%.</w:t>
            </w:r>
          </w:p>
        </w:tc>
        <w:tc>
          <w:tcPr>
            <w:tcW w:w="3742" w:type="dxa"/>
            <w:tcBorders>
              <w:top w:val="single" w:color="auto" w:sz="4" w:space="0"/>
              <w:left w:val="single" w:color="auto" w:sz="4" w:space="0"/>
              <w:bottom w:val="single" w:color="auto" w:sz="4" w:space="0"/>
              <w:right w:val="single" w:color="auto" w:sz="4" w:space="0"/>
            </w:tcBorders>
          </w:tcPr>
          <w:p w14:paraId="447EADF9">
            <w:pPr>
              <w:wordWrap w:val="0"/>
              <w:spacing w:after="0" w:line="240" w:lineRule="auto"/>
              <w:jc w:val="center"/>
              <w:rPr>
                <w:rFonts w:ascii="Arial" w:hAnsi="Arial" w:cs="Arial"/>
                <w:kern w:val="2"/>
                <w:sz w:val="16"/>
                <w:szCs w:val="16"/>
              </w:rPr>
            </w:pPr>
          </w:p>
        </w:tc>
      </w:tr>
    </w:tbl>
    <w:p w14:paraId="31AA862F">
      <w:pPr>
        <w:spacing w:line="276" w:lineRule="auto"/>
        <w:ind w:left="-142"/>
        <w:rPr>
          <w:rFonts w:ascii="Arial" w:hAnsi="Arial" w:cs="Arial"/>
          <w:sz w:val="18"/>
          <w:szCs w:val="18"/>
        </w:rPr>
      </w:pPr>
    </w:p>
    <w:p w14:paraId="580BC9D3">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w:t>
      </w:r>
      <w:r>
        <w:rPr>
          <w:rFonts w:hint="default" w:ascii="Arial" w:hAnsi="Arial" w:cs="Arial"/>
          <w:b/>
          <w:bCs/>
          <w:sz w:val="20"/>
          <w:szCs w:val="20"/>
          <w:lang w:val="pt-BR"/>
        </w:rPr>
        <w:t>6</w:t>
      </w:r>
      <w:bookmarkStart w:id="56" w:name="_GoBack"/>
      <w:bookmarkEnd w:id="56"/>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002/2026</w:t>
      </w:r>
      <w:r>
        <w:rPr>
          <w:rFonts w:hint="default" w:ascii="Arial" w:hAnsi="Arial" w:cs="Arial"/>
          <w:sz w:val="17"/>
          <w:szCs w:val="17"/>
        </w:rPr>
        <w:t xml:space="preserve">, Processo Administrativo n.º </w:t>
      </w:r>
      <w:r>
        <w:rPr>
          <w:rFonts w:hint="default" w:ascii="Arial" w:hAnsi="Arial" w:cs="Arial"/>
          <w:sz w:val="17"/>
          <w:szCs w:val="17"/>
          <w:lang w:val="pt-BR"/>
        </w:rPr>
        <w:t>007/2026</w:t>
      </w:r>
      <w:r>
        <w:rPr>
          <w:rFonts w:hint="default" w:ascii="Arial" w:hAnsi="Arial" w:cs="Arial"/>
          <w:sz w:val="17"/>
          <w:szCs w:val="17"/>
        </w:rPr>
        <w:t xml:space="preserve">, Pregão Eletrônico n° </w:t>
      </w:r>
      <w:r>
        <w:rPr>
          <w:rFonts w:hint="default" w:ascii="Arial" w:hAnsi="Arial" w:cs="Arial"/>
          <w:sz w:val="17"/>
          <w:szCs w:val="17"/>
          <w:lang w:val="pt-BR"/>
        </w:rPr>
        <w:t>002/2026</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19"/>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medicamentos de A à Z, classificados como referência (éticos e biológicos), genéricos e similares, contidos na tabela CMED/ANVISA para atender às demandas da Secretaria Municipal de Saúde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8499" w:type="dxa"/>
        <w:jc w:val="center"/>
        <w:tblLayout w:type="fixed"/>
        <w:tblCellMar>
          <w:top w:w="0" w:type="dxa"/>
          <w:left w:w="70" w:type="dxa"/>
          <w:bottom w:w="0" w:type="dxa"/>
          <w:right w:w="70" w:type="dxa"/>
        </w:tblCellMar>
      </w:tblPr>
      <w:tblGrid>
        <w:gridCol w:w="541"/>
        <w:gridCol w:w="4216"/>
        <w:gridCol w:w="3742"/>
      </w:tblGrid>
      <w:tr w14:paraId="71E07E97">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3BC79178">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3FA9B234">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3742" w:type="dxa"/>
            <w:tcBorders>
              <w:top w:val="single" w:color="auto" w:sz="4" w:space="0"/>
              <w:left w:val="single" w:color="auto" w:sz="4" w:space="0"/>
              <w:bottom w:val="single" w:color="auto" w:sz="4" w:space="0"/>
              <w:right w:val="single" w:color="auto" w:sz="4" w:space="0"/>
            </w:tcBorders>
          </w:tcPr>
          <w:p w14:paraId="0A686264">
            <w:pPr>
              <w:spacing w:after="0" w:line="240" w:lineRule="auto"/>
              <w:jc w:val="center"/>
              <w:rPr>
                <w:rFonts w:ascii="Arial" w:hAnsi="Arial" w:cs="Arial"/>
                <w:b/>
                <w:bCs/>
                <w:kern w:val="2"/>
                <w:sz w:val="16"/>
                <w:szCs w:val="16"/>
              </w:rPr>
            </w:pPr>
            <w:r>
              <w:rPr>
                <w:rFonts w:hint="default" w:ascii="Arial" w:hAnsi="Arial"/>
                <w:b/>
                <w:bCs/>
                <w:kern w:val="2"/>
                <w:sz w:val="16"/>
                <w:szCs w:val="16"/>
              </w:rPr>
              <w:t>Percentual de  desconto  sobre a Tabela CMED/Anvisa no PMVG (Preço máximo de venda ao governo</w:t>
            </w:r>
          </w:p>
        </w:tc>
      </w:tr>
      <w:tr w14:paraId="0C8C67C2">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75FD067">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2F60ED34">
            <w:pPr>
              <w:autoSpaceDE w:val="0"/>
              <w:autoSpaceDN w:val="0"/>
              <w:adjustRightInd w:val="0"/>
              <w:spacing w:after="0" w:line="240" w:lineRule="auto"/>
              <w:jc w:val="both"/>
              <w:rPr>
                <w:rFonts w:hint="default" w:ascii="Arial" w:hAnsi="Arial" w:eastAsia="Arial" w:cs="Arial"/>
                <w:sz w:val="16"/>
                <w:szCs w:val="16"/>
                <w:rtl w:val="0"/>
                <w:lang w:val="pt-BR" w:eastAsia="en-US"/>
              </w:rPr>
            </w:pPr>
            <w:r>
              <w:rPr>
                <w:rFonts w:hint="default" w:ascii="Arial" w:hAnsi="Arial" w:eastAsia="Arial" w:cs="Arial"/>
                <w:sz w:val="16"/>
                <w:szCs w:val="16"/>
                <w:rtl w:val="0"/>
                <w:lang w:val="en-US" w:eastAsia="pt-BR"/>
              </w:rPr>
              <w:t>Medicamentos REFERÊNCIA (ÉTICOS e BIOLÓGICOS) de “A à Z”, descritos na Tabela CMED/ANVISA – COLUNA – PMVG – ICMS 18%.</w:t>
            </w:r>
          </w:p>
        </w:tc>
        <w:tc>
          <w:tcPr>
            <w:tcW w:w="3742" w:type="dxa"/>
            <w:tcBorders>
              <w:top w:val="single" w:color="auto" w:sz="4" w:space="0"/>
              <w:left w:val="single" w:color="auto" w:sz="4" w:space="0"/>
              <w:bottom w:val="single" w:color="auto" w:sz="4" w:space="0"/>
              <w:right w:val="single" w:color="auto" w:sz="4" w:space="0"/>
            </w:tcBorders>
          </w:tcPr>
          <w:p w14:paraId="27359CB3">
            <w:pPr>
              <w:wordWrap w:val="0"/>
              <w:spacing w:after="0" w:line="240" w:lineRule="auto"/>
              <w:jc w:val="center"/>
              <w:rPr>
                <w:rFonts w:ascii="Arial" w:hAnsi="Arial" w:cs="Arial"/>
                <w:kern w:val="2"/>
                <w:sz w:val="16"/>
                <w:szCs w:val="16"/>
              </w:rPr>
            </w:pPr>
          </w:p>
        </w:tc>
      </w:tr>
      <w:tr w14:paraId="10D62B10">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517CE64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685FC260">
            <w:pPr>
              <w:autoSpaceDE w:val="0"/>
              <w:autoSpaceDN w:val="0"/>
              <w:adjustRightInd w:val="0"/>
              <w:spacing w:after="0" w:line="240" w:lineRule="auto"/>
              <w:jc w:val="both"/>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Medicamentos GENÉRICOS de “A à Z”, descritos na Tabela CMED/ANVISA – COLUNA PMVG – ICMS 18%.</w:t>
            </w:r>
          </w:p>
        </w:tc>
        <w:tc>
          <w:tcPr>
            <w:tcW w:w="3742" w:type="dxa"/>
            <w:tcBorders>
              <w:top w:val="single" w:color="auto" w:sz="4" w:space="0"/>
              <w:left w:val="single" w:color="auto" w:sz="4" w:space="0"/>
              <w:bottom w:val="single" w:color="auto" w:sz="4" w:space="0"/>
              <w:right w:val="single" w:color="auto" w:sz="4" w:space="0"/>
            </w:tcBorders>
          </w:tcPr>
          <w:p w14:paraId="1BF64B6A">
            <w:pPr>
              <w:wordWrap w:val="0"/>
              <w:spacing w:after="0" w:line="240" w:lineRule="auto"/>
              <w:jc w:val="center"/>
              <w:rPr>
                <w:rFonts w:ascii="Arial" w:hAnsi="Arial" w:cs="Arial"/>
                <w:kern w:val="2"/>
                <w:sz w:val="16"/>
                <w:szCs w:val="16"/>
              </w:rPr>
            </w:pPr>
          </w:p>
        </w:tc>
      </w:tr>
      <w:tr w14:paraId="13201142">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18F2175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single" w:color="auto" w:sz="4" w:space="0"/>
              <w:left w:val="single" w:color="auto" w:sz="4" w:space="0"/>
              <w:bottom w:val="single" w:color="auto" w:sz="4" w:space="0"/>
              <w:right w:val="single" w:color="auto" w:sz="4" w:space="0"/>
            </w:tcBorders>
            <w:shd w:val="clear" w:color="auto" w:fill="auto"/>
            <w:noWrap/>
            <w:vAlign w:val="top"/>
          </w:tcPr>
          <w:p w14:paraId="23439291">
            <w:pPr>
              <w:autoSpaceDE w:val="0"/>
              <w:autoSpaceDN w:val="0"/>
              <w:adjustRightInd w:val="0"/>
              <w:spacing w:after="0" w:line="240" w:lineRule="auto"/>
              <w:jc w:val="both"/>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Medicamentos SIMILARES de “A à Z”, descritos na Tabela CMED/ANVISA – COLUNA – PMVG – ICMS 18%.</w:t>
            </w:r>
          </w:p>
        </w:tc>
        <w:tc>
          <w:tcPr>
            <w:tcW w:w="3742" w:type="dxa"/>
            <w:tcBorders>
              <w:top w:val="single" w:color="auto" w:sz="4" w:space="0"/>
              <w:left w:val="single" w:color="auto" w:sz="4" w:space="0"/>
              <w:bottom w:val="single" w:color="auto" w:sz="4" w:space="0"/>
              <w:right w:val="single" w:color="auto" w:sz="4" w:space="0"/>
            </w:tcBorders>
          </w:tcPr>
          <w:p w14:paraId="558AC3E1">
            <w:pPr>
              <w:wordWrap w:val="0"/>
              <w:spacing w:after="0" w:line="240" w:lineRule="auto"/>
              <w:jc w:val="center"/>
              <w:rPr>
                <w:rFonts w:ascii="Arial" w:hAnsi="Arial" w:cs="Arial"/>
                <w:kern w:val="2"/>
                <w:sz w:val="16"/>
                <w:szCs w:val="16"/>
              </w:rPr>
            </w:pPr>
          </w:p>
        </w:tc>
      </w:tr>
    </w:tbl>
    <w:p w14:paraId="196BB2CA">
      <w:pPr>
        <w:pStyle w:val="220"/>
        <w:numPr>
          <w:ilvl w:val="0"/>
          <w:numId w:val="0"/>
        </w:numPr>
        <w:spacing w:line="240" w:lineRule="auto"/>
        <w:ind w:leftChars="0"/>
        <w:jc w:val="both"/>
        <w:rPr>
          <w:rFonts w:hint="default" w:ascii="Arial" w:hAnsi="Arial" w:cs="Arial"/>
          <w:sz w:val="17"/>
          <w:szCs w:val="17"/>
        </w:rPr>
      </w:pPr>
    </w:p>
    <w:p w14:paraId="4EB5A499">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4375124">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2A82CD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O fornecimento dos medicamentos ocorrerá sob demanda, durante a vigência da Ata de Registro de Preços, mediante emissão de Autorização de Fornecimento pela Administração, a qual conterá a descrição dos medicamentos, os quantitativos, o local de entrega e demais informações necessárias ao atendimento da demanda judicial.</w:t>
      </w:r>
    </w:p>
    <w:p w14:paraId="10677AC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A Contratada deverá atender integralmente à Autorização de Fornecimento emitida, respeitando os quantitativos, especificações e local de entrega indicados, não sendo admitido fornecimento parcial, salvo quando expressamente autorizado pela Administração.</w:t>
      </w:r>
    </w:p>
    <w:p w14:paraId="5ABB64D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O prazo máximo para a entrega dos medicamentos será aquele definido na Autorização de Fornecimento, devendo ser compatível com a urgência do tratamento, observado o limite máximo de até 10 (dez) dias corridos, contados a partir do envio da respectiva autorização, salvo disposição diversa devidamente justificada e aceita pela Administração.</w:t>
      </w:r>
    </w:p>
    <w:p w14:paraId="4B3EA05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 Caso não seja possível o cumprimento do prazo estabelecido, a Contratada deverá comunicar formalmente à Administração, apresentando as devidas justificativas, com antecedência mínima de 02 (dois) dias, para fins de análise e eventual autorização de prorrogação de prazo.</w:t>
      </w:r>
    </w:p>
    <w:p w14:paraId="3238FB0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 Os medicamentos entregues que não atenderem às especificações técnicas, prazos de validade ou condições de acondicionamento exigidas neste Termo de Referência não serão aceitos, devendo a Contratada proceder à substituição dos produtos no prazo máximo de 05 (cinco) dias, sem ônus adicional para a Administração.</w:t>
      </w:r>
    </w:p>
    <w:p w14:paraId="2B0788B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A entrega dos medicamentos deverá ser formalizada mediante apresentação da nota fiscal correspondente, acompanhada, quando aplicável, de documentação técnica exigida pelos órgãos reguladores, observadas as normas sanitárias vigentes.</w:t>
      </w:r>
    </w:p>
    <w:p w14:paraId="2871E48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A entrega dos medicamentos deverá ocorrer no horário compreendido entre 07h00 e 16h00, exclusivamente em dias úteis, no local indicado pela Administração, salvo autorização expressa em contrário.</w:t>
      </w:r>
    </w:p>
    <w:p w14:paraId="73E6CA2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lang w:val="pt-BR"/>
        </w:rPr>
      </w:pPr>
      <w:r>
        <w:rPr>
          <w:rFonts w:hint="default" w:eastAsia="Times New Roman"/>
          <w:sz w:val="17"/>
          <w:szCs w:val="17"/>
          <w:lang w:val="pt-BR"/>
        </w:rPr>
        <w:t>2.8</w:t>
      </w:r>
      <w:r>
        <w:rPr>
          <w:rFonts w:hint="default" w:ascii="Arial" w:hAnsi="Arial" w:eastAsia="Times New Roman"/>
          <w:sz w:val="17"/>
          <w:szCs w:val="17"/>
        </w:rPr>
        <w:t>. A empresa contratada deverá atender aos seguintes requisitos mínimos para o fornecimento de medicamentos, abrangendo Referência (Éticos e Biológicos), Genéricos e Similares</w:t>
      </w:r>
      <w:r>
        <w:rPr>
          <w:rFonts w:hint="default" w:eastAsia="Times New Roman"/>
          <w:sz w:val="17"/>
          <w:szCs w:val="17"/>
          <w:lang w:val="pt-BR"/>
        </w:rPr>
        <w:t>:</w:t>
      </w:r>
    </w:p>
    <w:p w14:paraId="27EC07A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2.8.1.</w:t>
      </w:r>
      <w:r>
        <w:rPr>
          <w:rFonts w:hint="default" w:ascii="Arial" w:hAnsi="Arial" w:eastAsia="Times New Roman"/>
          <w:sz w:val="17"/>
          <w:szCs w:val="17"/>
        </w:rPr>
        <w:t xml:space="preserve"> Qualidade e Segurança: Os medicamentos devem ser provenientes de fabricantes idôneos e com comprovação de qualidade, garantindo a segurança dos pacientes.</w:t>
      </w:r>
    </w:p>
    <w:p w14:paraId="6A06DB6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2.8.2.</w:t>
      </w:r>
      <w:r>
        <w:rPr>
          <w:rFonts w:hint="default" w:ascii="Arial" w:hAnsi="Arial" w:eastAsia="Times New Roman"/>
          <w:sz w:val="17"/>
          <w:szCs w:val="17"/>
        </w:rPr>
        <w:t xml:space="preserve"> Diversidade de Itens: A contratação deve abranger uma ampla gama de medicamentos, incluindo Referência (Éticos e Biológicos), Genéricos e Similares, para atender às diversas demandas judiciais.</w:t>
      </w:r>
    </w:p>
    <w:p w14:paraId="7EE33BC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2.8.3.</w:t>
      </w:r>
      <w:r>
        <w:rPr>
          <w:rFonts w:hint="default" w:ascii="Arial" w:hAnsi="Arial" w:eastAsia="Times New Roman"/>
          <w:sz w:val="17"/>
          <w:szCs w:val="17"/>
        </w:rPr>
        <w:t xml:space="preserve"> Prazo de Entrega: Os medicamentos devem ser entregues em prazos compatíveis com as necessidades dos pacientes, evitando interrupções no tratamento.</w:t>
      </w:r>
    </w:p>
    <w:p w14:paraId="455E132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2.8.4.</w:t>
      </w:r>
      <w:r>
        <w:rPr>
          <w:rFonts w:hint="default" w:ascii="Arial" w:hAnsi="Arial" w:eastAsia="Times New Roman"/>
          <w:sz w:val="17"/>
          <w:szCs w:val="17"/>
        </w:rPr>
        <w:t xml:space="preserve"> Armazenamento e Distribuição: Os medicamentos devem ser entregues em condições adequadas de armazenamento, conforme as especificações técnicas de cada produto.</w:t>
      </w:r>
    </w:p>
    <w:p w14:paraId="247200B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2.8.5.</w:t>
      </w:r>
      <w:r>
        <w:rPr>
          <w:rFonts w:hint="default" w:ascii="Arial" w:hAnsi="Arial" w:eastAsia="Times New Roman"/>
          <w:sz w:val="17"/>
          <w:szCs w:val="17"/>
        </w:rPr>
        <w:t xml:space="preserve"> Desconto sobre o Preço Máximo de Venda ao Governo (PMVG): A contratação será realizada com base no maior percentual de desconto por item sobre a tabela CMED/Anvisa no PMVG, garantindo economicidade.</w:t>
      </w:r>
    </w:p>
    <w:p w14:paraId="1BDAF2A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2.8.6.</w:t>
      </w:r>
      <w:r>
        <w:rPr>
          <w:rFonts w:hint="default" w:ascii="Arial" w:hAnsi="Arial" w:eastAsia="Times New Roman"/>
          <w:sz w:val="17"/>
          <w:szCs w:val="17"/>
        </w:rPr>
        <w:t xml:space="preserve"> Prazo de Validade: Os produtos deverão ter validade de 2 (dois) anos ou, no mínimo, 80% (oitenta por cento) do prazo de validade constante na data da fabricação, produção ou envase, contados a partir da data de entrega/recebimento do produto no município.</w:t>
      </w: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65B38E2A">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002/2026</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6AA7D50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w:t>
      </w:r>
      <w:r>
        <w:rPr>
          <w:rFonts w:hint="default" w:ascii="Arial" w:hAnsi="Arial"/>
          <w:b w:val="0"/>
          <w:bCs/>
          <w:sz w:val="17"/>
          <w:szCs w:val="17"/>
          <w:lang w:val="pt-BR"/>
        </w:rPr>
        <w:t xml:space="preserve"> </w:t>
      </w:r>
      <w:r>
        <w:rPr>
          <w:rFonts w:hint="default" w:ascii="Arial" w:hAnsi="Arial"/>
          <w:b w:val="0"/>
          <w:bCs/>
          <w:sz w:val="17"/>
          <w:szCs w:val="17"/>
        </w:rPr>
        <w:t>Fornecer os medicamentos objeto deste Termo de Referência em conformidade com as especificações técnicas, condições estabelecidas e com as Autorizações de Fornecimento emitidas pela Contratante.</w:t>
      </w:r>
    </w:p>
    <w:p w14:paraId="2122AB3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Atender integralmente às solicitações da Administração, observando os prazos, locais e condições estabelecidos, não sendo admitido o fornecimento parcial do objeto autorizado, salvo quando expressamente autorizado pela Contratante.</w:t>
      </w:r>
    </w:p>
    <w:p w14:paraId="491464F0">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Disponibilizar, quando aplicável, documentação técnica, tais como registros sanitários, laudos, certificados de qualidade, comprovantes de regularidade junto aos órgãos competentes e informações relativas à validade, lote e procedência dos medicamentos fornecidos.</w:t>
      </w:r>
    </w:p>
    <w:p w14:paraId="5E2BA6C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 Prestar, sempre que solicitado, informações e esclarecimentos relativos ao fornecimento dos medicamentos, comunicando imediatamente à Contratante qualquer ocorrência que possa comprometer a qualidade, a segurança dos produtos ou o cumprimento dos prazos de entrega.</w:t>
      </w:r>
    </w:p>
    <w:p w14:paraId="779621C3">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Responsabilizar-se por todos os custos decorrentes da execução do objeto, incluindo despesas operacionais, logísticas, administrativas, trabalhistas, tributárias, seguros, transporte, armazenamento e demais encargos necessários ao fiel cumprimento das obrigações contratuais.</w:t>
      </w:r>
    </w:p>
    <w:p w14:paraId="2C143E5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Substituir, às suas expensas, os medicamentos fornecidos em desconformidade com as especificações técnicas, com prazo de validade inadequado ou que apresentem avarias, vícios, defeitos ou qualquer irregularidade, sem prejuízo da aplicação das penalidades cabíveis.</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.1.7. O recebimento definitivo dos medicamentos não eximirá a Contratada das responsabilidades relativas à qualidade, segurança, validade e conformidade dos produtos fornecidos, bem como de eventuais vícios identificados posteriormente.</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1"/>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44F63B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entrega do objeto da aquisição.</w:t>
      </w:r>
    </w:p>
    <w:p w14:paraId="5383D9D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693C1CF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3C6655B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 (s) produto (s) e/ou que não satisfizerem aos padrões exigidos nas especificações e recomendações da contratante.</w:t>
      </w:r>
    </w:p>
    <w:p w14:paraId="52526BB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15 (quinze) dias corridos da geração da Solicitação de Fornecimento.</w:t>
      </w:r>
    </w:p>
    <w:p w14:paraId="5C6195A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do contrato.</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08D03816">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5B445789">
      <w:pPr>
        <w:spacing w:line="240" w:lineRule="auto"/>
        <w:jc w:val="both"/>
        <w:rPr>
          <w:rFonts w:hint="default" w:ascii="Arial" w:hAnsi="Arial" w:cs="Arial"/>
          <w:b/>
          <w:bCs w:val="0"/>
          <w:color w:val="000000" w:themeColor="text1"/>
          <w:sz w:val="17"/>
          <w:szCs w:val="17"/>
          <w:lang w:eastAsia="ar-SA"/>
          <w14:textFill>
            <w14:solidFill>
              <w14:schemeClr w14:val="tx1"/>
            </w14:solidFill>
          </w14:textFill>
        </w:rPr>
      </w:pPr>
      <w:r>
        <w:rPr>
          <w:rFonts w:hint="default" w:ascii="Arial" w:hAnsi="Arial" w:cs="Arial"/>
          <w:b/>
          <w:bCs w:val="0"/>
          <w:color w:val="000000" w:themeColor="text1"/>
          <w:sz w:val="17"/>
          <w:szCs w:val="17"/>
          <w:lang w:eastAsia="ar-SA"/>
          <w14:textFill>
            <w14:solidFill>
              <w14:schemeClr w14:val="tx1"/>
            </w14:solidFill>
          </w14:textFill>
        </w:rPr>
        <w:t>CENTRO DE CUSTO</w:t>
      </w:r>
      <w:r>
        <w:rPr>
          <w:rFonts w:hint="default" w:ascii="Arial" w:hAnsi="Arial" w:cs="Arial"/>
          <w:b/>
          <w:bCs w:val="0"/>
          <w:color w:val="000000" w:themeColor="text1"/>
          <w:sz w:val="17"/>
          <w:szCs w:val="17"/>
          <w:lang w:val="pt-BR" w:eastAsia="ar-SA"/>
          <w14:textFill>
            <w14:solidFill>
              <w14:schemeClr w14:val="tx1"/>
            </w14:solidFill>
          </w14:textFill>
        </w:rPr>
        <w:t xml:space="preserve"> </w:t>
      </w:r>
      <w:r>
        <w:rPr>
          <w:rFonts w:hint="default" w:ascii="Arial" w:hAnsi="Arial" w:cs="Arial"/>
          <w:b/>
          <w:bCs w:val="0"/>
          <w:color w:val="000000" w:themeColor="text1"/>
          <w:sz w:val="17"/>
          <w:szCs w:val="17"/>
          <w:lang w:eastAsia="ar-SA"/>
          <w14:textFill>
            <w14:solidFill>
              <w14:schemeClr w14:val="tx1"/>
            </w14:solidFill>
          </w14:textFill>
        </w:rPr>
        <w:t xml:space="preserve">02.008 – Secretaria de Saúde </w:t>
      </w:r>
    </w:p>
    <w:p w14:paraId="05BD1960">
      <w:pPr>
        <w:spacing w:line="240" w:lineRule="auto"/>
        <w:jc w:val="both"/>
        <w:rPr>
          <w:rFonts w:hint="default" w:ascii="Arial" w:hAnsi="Arial" w:cs="Arial"/>
          <w:b w:val="0"/>
          <w:bCs/>
          <w:color w:val="000000" w:themeColor="text1"/>
          <w:sz w:val="17"/>
          <w:szCs w:val="17"/>
          <w:lang w:eastAsia="ar-SA"/>
          <w14:textFill>
            <w14:solidFill>
              <w14:schemeClr w14:val="tx1"/>
            </w14:solidFill>
          </w14:textFill>
        </w:rPr>
      </w:pPr>
      <w:r>
        <w:rPr>
          <w:rFonts w:hint="default" w:ascii="Arial" w:hAnsi="Arial" w:cs="Arial"/>
          <w:b w:val="0"/>
          <w:bCs/>
          <w:color w:val="000000" w:themeColor="text1"/>
          <w:sz w:val="17"/>
          <w:szCs w:val="17"/>
          <w:lang w:eastAsia="ar-SA"/>
          <w14:textFill>
            <w14:solidFill>
              <w14:schemeClr w14:val="tx1"/>
            </w14:solidFill>
          </w14:textFill>
        </w:rPr>
        <w:t xml:space="preserve">10.122.0000.0.008 – Cumprimento de Sentenças Judiciais na Área da Saúde. </w:t>
      </w:r>
    </w:p>
    <w:p w14:paraId="13CB9058">
      <w:pPr>
        <w:spacing w:line="240" w:lineRule="auto"/>
        <w:jc w:val="both"/>
        <w:rPr>
          <w:rFonts w:hint="default" w:ascii="Arial" w:hAnsi="Arial" w:cs="Arial"/>
          <w:b w:val="0"/>
          <w:bCs/>
          <w:color w:val="000000" w:themeColor="text1"/>
          <w:sz w:val="17"/>
          <w:szCs w:val="17"/>
          <w:lang w:val="pt-BR" w:eastAsia="ar-SA"/>
          <w14:textFill>
            <w14:solidFill>
              <w14:schemeClr w14:val="tx1"/>
            </w14:solidFill>
          </w14:textFill>
        </w:rPr>
      </w:pPr>
      <w:r>
        <w:rPr>
          <w:rFonts w:hint="default" w:ascii="Arial" w:hAnsi="Arial" w:cs="Arial"/>
          <w:b w:val="0"/>
          <w:bCs/>
          <w:color w:val="000000" w:themeColor="text1"/>
          <w:sz w:val="17"/>
          <w:szCs w:val="17"/>
          <w:lang w:eastAsia="ar-SA"/>
          <w14:textFill>
            <w14:solidFill>
              <w14:schemeClr w14:val="tx1"/>
            </w14:solidFill>
          </w14:textFill>
        </w:rPr>
        <w:t>3.3.90.91.00.00.00.00 01.0500 – Sentenças Judiciais (Ficha 330)</w:t>
      </w:r>
      <w:r>
        <w:rPr>
          <w:rFonts w:hint="default" w:ascii="Arial" w:hAnsi="Arial" w:cs="Arial"/>
          <w:b w:val="0"/>
          <w:bCs/>
          <w:color w:val="000000" w:themeColor="text1"/>
          <w:sz w:val="17"/>
          <w:szCs w:val="17"/>
          <w:lang w:val="pt-BR" w:eastAsia="ar-SA"/>
          <w14:textFill>
            <w14:solidFill>
              <w14:schemeClr w14:val="tx1"/>
            </w14:solidFill>
          </w14:textFill>
        </w:rPr>
        <w:t>.</w:t>
      </w: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r>
        <w:rPr>
          <w:rFonts w:hint="default" w:ascii="Arial" w:hAnsi="Arial" w:cs="Arial"/>
          <w:sz w:val="17"/>
          <w:szCs w:val="17"/>
        </w:rPr>
        <w:t xml:space="preserve">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4" w:name="cancelamento_do_fornecedor"/>
      <w:bookmarkEnd w:id="54"/>
    </w:p>
    <w:p w14:paraId="73300CB6">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9010142">
      <w:pPr>
        <w:spacing w:line="240" w:lineRule="auto"/>
        <w:jc w:val="both"/>
        <w:rPr>
          <w:rFonts w:hint="default" w:ascii="Arial" w:hAnsi="Arial" w:cs="Arial"/>
          <w:b/>
          <w:bCs/>
          <w:sz w:val="17"/>
          <w:szCs w:val="17"/>
        </w:rPr>
      </w:pPr>
    </w:p>
    <w:p w14:paraId="570CD5A4">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4"/>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56183D07">
      <w:pPr>
        <w:pStyle w:val="303"/>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1"/>
          <w:rFonts w:hint="default" w:ascii="Arial" w:hAnsi="Arial" w:cs="Arial"/>
          <w:color w:val="auto"/>
          <w:sz w:val="17"/>
          <w:szCs w:val="17"/>
        </w:rPr>
        <w:t>Lei nº 14.133, de 2021</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a Administração poderá, garantida a prévia defesa, aplicar aos licitantes e/ou adjudicatários as seguintes sanções, sem prejuízo das responsabilidades civil e criminal: </w:t>
      </w:r>
    </w:p>
    <w:p w14:paraId="6A23CE6C">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4"/>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8"/>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1"/>
          <w:rFonts w:hint="default" w:ascii="Arial" w:hAnsi="Arial" w:cs="Arial"/>
          <w:color w:val="auto"/>
          <w:sz w:val="17"/>
          <w:szCs w:val="17"/>
        </w:rPr>
        <w:t>inciso I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4"/>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1"/>
          <w:rFonts w:hint="default" w:ascii="Arial" w:hAnsi="Arial" w:cs="Arial"/>
          <w:color w:val="auto"/>
          <w:sz w:val="17"/>
          <w:szCs w:val="17"/>
        </w:rPr>
        <w:t>art. 5º da Lei nº 12.846, de 1º de agosto de 2013.</w:t>
      </w:r>
      <w:r>
        <w:rPr>
          <w:rStyle w:val="11"/>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.3.1, 1</w:t>
      </w:r>
      <w:r>
        <w:rPr>
          <w:rStyle w:val="11"/>
          <w:rFonts w:hint="default" w:cs="Arial"/>
          <w:color w:val="auto"/>
          <w:sz w:val="17"/>
          <w:szCs w:val="17"/>
          <w:lang w:val="pt-BR"/>
        </w:rPr>
        <w:t>0</w:t>
      </w:r>
      <w:r>
        <w:rPr>
          <w:rStyle w:val="11"/>
          <w:rFonts w:hint="default" w:ascii="Arial" w:hAnsi="Arial" w:cs="Arial"/>
          <w:color w:val="auto"/>
          <w:sz w:val="17"/>
          <w:szCs w:val="17"/>
        </w:rPr>
        <w:t>.3.2, 1</w:t>
      </w:r>
      <w:r>
        <w:rPr>
          <w:rStyle w:val="11"/>
          <w:rFonts w:hint="default" w:cs="Arial"/>
          <w:color w:val="auto"/>
          <w:sz w:val="17"/>
          <w:szCs w:val="17"/>
          <w:lang w:val="pt-BR"/>
        </w:rPr>
        <w:t>0</w:t>
      </w:r>
      <w:r>
        <w:rPr>
          <w:rStyle w:val="11"/>
          <w:rFonts w:hint="default" w:ascii="Arial" w:hAnsi="Arial" w:cs="Arial"/>
          <w:color w:val="auto"/>
          <w:sz w:val="17"/>
          <w:szCs w:val="17"/>
        </w:rPr>
        <w:t>.3.3, 1</w:t>
      </w:r>
      <w:r>
        <w:rPr>
          <w:rStyle w:val="11"/>
          <w:rFonts w:hint="default" w:cs="Arial"/>
          <w:color w:val="auto"/>
          <w:sz w:val="17"/>
          <w:szCs w:val="17"/>
          <w:lang w:val="pt-BR"/>
        </w:rPr>
        <w:t>0</w:t>
      </w:r>
      <w:r>
        <w:rPr>
          <w:rStyle w:val="11"/>
          <w:rFonts w:hint="default" w:ascii="Arial" w:hAnsi="Arial" w:cs="Arial"/>
          <w:color w:val="auto"/>
          <w:sz w:val="17"/>
          <w:szCs w:val="17"/>
        </w:rPr>
        <w:t>.3.4, 1</w:t>
      </w:r>
      <w:r>
        <w:rPr>
          <w:rStyle w:val="11"/>
          <w:rFonts w:hint="default" w:cs="Arial"/>
          <w:color w:val="auto"/>
          <w:sz w:val="17"/>
          <w:szCs w:val="17"/>
          <w:lang w:val="pt-BR"/>
        </w:rPr>
        <w:t>0</w:t>
      </w:r>
      <w:r>
        <w:rPr>
          <w:rStyle w:val="11"/>
          <w:rFonts w:hint="default" w:ascii="Arial" w:hAnsi="Arial" w:cs="Arial"/>
          <w:color w:val="auto"/>
          <w:sz w:val="17"/>
          <w:szCs w:val="17"/>
        </w:rPr>
        <w:t>.3.5 e 1</w:t>
      </w:r>
      <w:r>
        <w:rPr>
          <w:rStyle w:val="11"/>
          <w:rFonts w:hint="default" w:cs="Arial"/>
          <w:color w:val="auto"/>
          <w:sz w:val="17"/>
          <w:szCs w:val="17"/>
          <w:lang w:val="pt-BR"/>
        </w:rPr>
        <w:t>0</w:t>
      </w:r>
      <w:r>
        <w:rPr>
          <w:rStyle w:val="11"/>
          <w:rFonts w:hint="default" w:ascii="Arial" w:hAnsi="Arial" w:cs="Arial"/>
          <w:color w:val="auto"/>
          <w:sz w:val="17"/>
          <w:szCs w:val="17"/>
        </w:rPr>
        <w:t>.3.6,</w:t>
      </w:r>
      <w:r>
        <w:rPr>
          <w:rStyle w:val="11"/>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.3.8, 1</w:t>
      </w:r>
      <w:r>
        <w:rPr>
          <w:rStyle w:val="11"/>
          <w:rFonts w:hint="default" w:cs="Arial"/>
          <w:color w:val="auto"/>
          <w:sz w:val="17"/>
          <w:szCs w:val="17"/>
          <w:lang w:val="pt-BR"/>
        </w:rPr>
        <w:t>0</w:t>
      </w:r>
      <w:r>
        <w:rPr>
          <w:rStyle w:val="11"/>
          <w:rFonts w:hint="default" w:ascii="Arial" w:hAnsi="Arial" w:cs="Arial"/>
          <w:color w:val="auto"/>
          <w:sz w:val="17"/>
          <w:szCs w:val="17"/>
        </w:rPr>
        <w:t>.3.9, 1</w:t>
      </w:r>
      <w:r>
        <w:rPr>
          <w:rStyle w:val="11"/>
          <w:rFonts w:hint="default" w:cs="Arial"/>
          <w:color w:val="auto"/>
          <w:sz w:val="17"/>
          <w:szCs w:val="17"/>
          <w:lang w:val="pt-BR"/>
        </w:rPr>
        <w:t>0</w:t>
      </w:r>
      <w:r>
        <w:rPr>
          <w:rStyle w:val="11"/>
          <w:rFonts w:hint="default" w:ascii="Arial" w:hAnsi="Arial" w:cs="Arial"/>
          <w:color w:val="auto"/>
          <w:sz w:val="17"/>
          <w:szCs w:val="17"/>
        </w:rPr>
        <w:t>.3.10, 1</w:t>
      </w:r>
      <w:r>
        <w:rPr>
          <w:rStyle w:val="11"/>
          <w:rFonts w:hint="default" w:cs="Arial"/>
          <w:color w:val="auto"/>
          <w:sz w:val="17"/>
          <w:szCs w:val="17"/>
          <w:lang w:val="pt-BR"/>
        </w:rPr>
        <w:t>0</w:t>
      </w:r>
      <w:r>
        <w:rPr>
          <w:rStyle w:val="11"/>
          <w:rFonts w:hint="default" w:ascii="Arial" w:hAnsi="Arial" w:cs="Arial"/>
          <w:color w:val="auto"/>
          <w:sz w:val="17"/>
          <w:szCs w:val="17"/>
        </w:rPr>
        <w:t>.3.11 e 1</w:t>
      </w:r>
      <w:r>
        <w:rPr>
          <w:rStyle w:val="11"/>
          <w:rFonts w:hint="default" w:cs="Arial"/>
          <w:color w:val="auto"/>
          <w:sz w:val="17"/>
          <w:szCs w:val="17"/>
          <w:lang w:val="pt-BR"/>
        </w:rPr>
        <w:t>0</w:t>
      </w:r>
      <w:r>
        <w:rPr>
          <w:rStyle w:val="11"/>
          <w:rFonts w:hint="default" w:ascii="Arial" w:hAnsi="Arial" w:cs="Arial"/>
          <w:color w:val="auto"/>
          <w:sz w:val="17"/>
          <w:szCs w:val="17"/>
        </w:rPr>
        <w:t>.3.12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 14.133/21</w:t>
      </w:r>
      <w:r>
        <w:rPr>
          <w:rStyle w:val="11"/>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4"/>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8"/>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55BB5776">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0D8CC7AE">
      <w:pPr>
        <w:pStyle w:val="220"/>
        <w:keepNext w:val="0"/>
        <w:keepLines w:val="0"/>
        <w:pageBreakBefore w:val="0"/>
        <w:numPr>
          <w:ilvl w:val="0"/>
          <w:numId w:val="23"/>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bCs/>
          <w:color w:val="000000"/>
          <w:sz w:val="17"/>
          <w:szCs w:val="17"/>
          <w:lang w:eastAsia="pt-BR"/>
        </w:rPr>
        <w:t>Natália da Silva Gonçalves Samel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eastAsia="Arial"/>
          <w:b w:val="0"/>
          <w:bCs w:val="0"/>
          <w:i w:val="0"/>
          <w:smallCaps w:val="0"/>
          <w:strike w:val="0"/>
          <w:color w:val="000000"/>
          <w:sz w:val="17"/>
          <w:szCs w:val="17"/>
          <w:u w:val="none"/>
          <w:shd w:val="clear" w:fill="auto"/>
          <w:vertAlign w:val="baseline"/>
          <w:rtl w:val="0"/>
          <w:lang w:val="pt-BR"/>
        </w:rPr>
        <w:t>15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6</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007/2026</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002/2026</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002/2026</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007/2026</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002/2026</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002/2026</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Arial"/>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002/2026</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6">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47622F6F"/>
    <w:multiLevelType w:val="multilevel"/>
    <w:tmpl w:val="47622F6F"/>
    <w:lvl w:ilvl="0" w:tentative="0">
      <w:start w:val="1"/>
      <w:numFmt w:val="bullet"/>
      <w:lvlText w:val=""/>
      <w:lvlJc w:val="left"/>
      <w:pPr>
        <w:ind w:left="153" w:hanging="360"/>
      </w:pPr>
      <w:rPr>
        <w:rFonts w:hint="default" w:ascii="Symbol" w:hAnsi="Symbol"/>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2">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ADB54D0"/>
    <w:multiLevelType w:val="multilevel"/>
    <w:tmpl w:val="5ADB54D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singleLevel"/>
    <w:tmpl w:val="6421523D"/>
    <w:lvl w:ilvl="0" w:tentative="0">
      <w:start w:val="18"/>
      <w:numFmt w:val="decimal"/>
      <w:suff w:val="space"/>
      <w:lvlText w:val="%1."/>
      <w:lvlJc w:val="left"/>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2"/>
  </w:num>
  <w:num w:numId="2">
    <w:abstractNumId w:val="7"/>
  </w:num>
  <w:num w:numId="3">
    <w:abstractNumId w:val="20"/>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5"/>
  </w:num>
  <w:num w:numId="9">
    <w:abstractNumId w:val="21"/>
  </w:num>
  <w:num w:numId="10">
    <w:abstractNumId w:val="19"/>
  </w:num>
  <w:num w:numId="11">
    <w:abstractNumId w:val="9"/>
  </w:num>
  <w:num w:numId="12">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6"/>
  </w:num>
  <w:num w:numId="17">
    <w:abstractNumId w:val="6"/>
  </w:num>
  <w:num w:numId="18">
    <w:abstractNumId w:val="14"/>
  </w:num>
  <w:num w:numId="19">
    <w:abstractNumId w:val="3"/>
  </w:num>
  <w:num w:numId="20">
    <w:abstractNumId w:val="10"/>
  </w:num>
  <w:num w:numId="21">
    <w:abstractNumId w:val="5"/>
  </w:num>
  <w:num w:numId="22">
    <w:abstractNumId w:val="4"/>
  </w:num>
  <w:num w:numId="23">
    <w:abstractNumId w:val="1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D2C92"/>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8435E"/>
    <w:rsid w:val="01B07C16"/>
    <w:rsid w:val="01E924B1"/>
    <w:rsid w:val="021F0951"/>
    <w:rsid w:val="023F4F02"/>
    <w:rsid w:val="02A837E9"/>
    <w:rsid w:val="039869FE"/>
    <w:rsid w:val="041462BE"/>
    <w:rsid w:val="046B1633"/>
    <w:rsid w:val="04AC369E"/>
    <w:rsid w:val="05345FFD"/>
    <w:rsid w:val="05494914"/>
    <w:rsid w:val="057672F2"/>
    <w:rsid w:val="05C36005"/>
    <w:rsid w:val="05DE29C6"/>
    <w:rsid w:val="06041F84"/>
    <w:rsid w:val="06A2436E"/>
    <w:rsid w:val="06A40338"/>
    <w:rsid w:val="06BD7EC9"/>
    <w:rsid w:val="071B739D"/>
    <w:rsid w:val="076B1838"/>
    <w:rsid w:val="07D04327"/>
    <w:rsid w:val="084354F7"/>
    <w:rsid w:val="084C3B7A"/>
    <w:rsid w:val="08662E72"/>
    <w:rsid w:val="088C08E9"/>
    <w:rsid w:val="09280895"/>
    <w:rsid w:val="099A6906"/>
    <w:rsid w:val="09A44850"/>
    <w:rsid w:val="0A1A36A0"/>
    <w:rsid w:val="0A1E5378"/>
    <w:rsid w:val="0A892C60"/>
    <w:rsid w:val="0B2E0FAF"/>
    <w:rsid w:val="0C6254CE"/>
    <w:rsid w:val="0C745C89"/>
    <w:rsid w:val="0C9B62D5"/>
    <w:rsid w:val="0CC5327E"/>
    <w:rsid w:val="0CFF1471"/>
    <w:rsid w:val="0D084D71"/>
    <w:rsid w:val="0D7910A1"/>
    <w:rsid w:val="0E4711FC"/>
    <w:rsid w:val="0F085E08"/>
    <w:rsid w:val="108D148E"/>
    <w:rsid w:val="109D402C"/>
    <w:rsid w:val="11C747A2"/>
    <w:rsid w:val="123371E8"/>
    <w:rsid w:val="130A0F08"/>
    <w:rsid w:val="13461D1B"/>
    <w:rsid w:val="134A4E0F"/>
    <w:rsid w:val="13566046"/>
    <w:rsid w:val="135C0EA9"/>
    <w:rsid w:val="13F57565"/>
    <w:rsid w:val="140A478A"/>
    <w:rsid w:val="16E549E0"/>
    <w:rsid w:val="16EA4716"/>
    <w:rsid w:val="175C2605"/>
    <w:rsid w:val="18343DC6"/>
    <w:rsid w:val="1838494B"/>
    <w:rsid w:val="188006D9"/>
    <w:rsid w:val="18B47B61"/>
    <w:rsid w:val="19002FAD"/>
    <w:rsid w:val="194A621D"/>
    <w:rsid w:val="19AE222D"/>
    <w:rsid w:val="19DF440E"/>
    <w:rsid w:val="1A306BDC"/>
    <w:rsid w:val="1A3B6C9E"/>
    <w:rsid w:val="1A591124"/>
    <w:rsid w:val="1AED0EEA"/>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34630"/>
    <w:rsid w:val="21B62EB3"/>
    <w:rsid w:val="22DF6543"/>
    <w:rsid w:val="234A2DB2"/>
    <w:rsid w:val="243F4EA1"/>
    <w:rsid w:val="24B0470C"/>
    <w:rsid w:val="24D91E32"/>
    <w:rsid w:val="25060297"/>
    <w:rsid w:val="25361FED"/>
    <w:rsid w:val="25632AB4"/>
    <w:rsid w:val="26467D5D"/>
    <w:rsid w:val="26606184"/>
    <w:rsid w:val="268D24CB"/>
    <w:rsid w:val="26A522E5"/>
    <w:rsid w:val="26AB2EEF"/>
    <w:rsid w:val="26E76EFF"/>
    <w:rsid w:val="27935519"/>
    <w:rsid w:val="28177609"/>
    <w:rsid w:val="289D2943"/>
    <w:rsid w:val="28C27333"/>
    <w:rsid w:val="28C52678"/>
    <w:rsid w:val="28DF667B"/>
    <w:rsid w:val="295938E3"/>
    <w:rsid w:val="29A90543"/>
    <w:rsid w:val="29B20756"/>
    <w:rsid w:val="29D60DFE"/>
    <w:rsid w:val="29D87A35"/>
    <w:rsid w:val="29F03C89"/>
    <w:rsid w:val="2A027DF4"/>
    <w:rsid w:val="2B273C3C"/>
    <w:rsid w:val="2B7E0EDF"/>
    <w:rsid w:val="2BA5188B"/>
    <w:rsid w:val="2BAC08D4"/>
    <w:rsid w:val="2BC12DD8"/>
    <w:rsid w:val="2BF66346"/>
    <w:rsid w:val="2C58733A"/>
    <w:rsid w:val="2C7E74AC"/>
    <w:rsid w:val="2CB11091"/>
    <w:rsid w:val="2CDF732B"/>
    <w:rsid w:val="2DB35605"/>
    <w:rsid w:val="2E3F034F"/>
    <w:rsid w:val="2E514506"/>
    <w:rsid w:val="2E611FB6"/>
    <w:rsid w:val="2E7471D0"/>
    <w:rsid w:val="2EE90188"/>
    <w:rsid w:val="2F2612DC"/>
    <w:rsid w:val="2F462A0C"/>
    <w:rsid w:val="2F712264"/>
    <w:rsid w:val="2F7D0104"/>
    <w:rsid w:val="2F8F5830"/>
    <w:rsid w:val="2FB01D49"/>
    <w:rsid w:val="2FE56B8B"/>
    <w:rsid w:val="300C2463"/>
    <w:rsid w:val="30213D0E"/>
    <w:rsid w:val="30704386"/>
    <w:rsid w:val="308D0C3E"/>
    <w:rsid w:val="30B03B21"/>
    <w:rsid w:val="30FC1269"/>
    <w:rsid w:val="310041B1"/>
    <w:rsid w:val="311E3766"/>
    <w:rsid w:val="3150612E"/>
    <w:rsid w:val="316B6E6A"/>
    <w:rsid w:val="31D574D0"/>
    <w:rsid w:val="31E13090"/>
    <w:rsid w:val="320821DE"/>
    <w:rsid w:val="32BF5443"/>
    <w:rsid w:val="32C171AA"/>
    <w:rsid w:val="33764BA1"/>
    <w:rsid w:val="33E47230"/>
    <w:rsid w:val="34160B18"/>
    <w:rsid w:val="341C3E53"/>
    <w:rsid w:val="351C73E8"/>
    <w:rsid w:val="35414F6E"/>
    <w:rsid w:val="356A4371"/>
    <w:rsid w:val="35DB42A7"/>
    <w:rsid w:val="35FD0F8B"/>
    <w:rsid w:val="36153AC8"/>
    <w:rsid w:val="36E91DC4"/>
    <w:rsid w:val="37AB3314"/>
    <w:rsid w:val="37EC6A19"/>
    <w:rsid w:val="37FF04D4"/>
    <w:rsid w:val="38541A9E"/>
    <w:rsid w:val="3858680B"/>
    <w:rsid w:val="392A0E24"/>
    <w:rsid w:val="398D25DE"/>
    <w:rsid w:val="3A4D68B5"/>
    <w:rsid w:val="3A782F7C"/>
    <w:rsid w:val="3A8821F4"/>
    <w:rsid w:val="3A8D7822"/>
    <w:rsid w:val="3AE54320"/>
    <w:rsid w:val="3CE04670"/>
    <w:rsid w:val="3D6F1FB5"/>
    <w:rsid w:val="3E203A15"/>
    <w:rsid w:val="3E280296"/>
    <w:rsid w:val="3E9832FD"/>
    <w:rsid w:val="3EAD2680"/>
    <w:rsid w:val="3EDB34B0"/>
    <w:rsid w:val="3EE6654F"/>
    <w:rsid w:val="3F1D6EF7"/>
    <w:rsid w:val="3F380C61"/>
    <w:rsid w:val="3F726CB5"/>
    <w:rsid w:val="40C73FD6"/>
    <w:rsid w:val="40FA5D04"/>
    <w:rsid w:val="417501F3"/>
    <w:rsid w:val="42856917"/>
    <w:rsid w:val="429057C0"/>
    <w:rsid w:val="431B5DEF"/>
    <w:rsid w:val="431D4064"/>
    <w:rsid w:val="438E56E3"/>
    <w:rsid w:val="440476D6"/>
    <w:rsid w:val="44B67514"/>
    <w:rsid w:val="45300692"/>
    <w:rsid w:val="453E5466"/>
    <w:rsid w:val="454C2ACB"/>
    <w:rsid w:val="455C49D9"/>
    <w:rsid w:val="4570367A"/>
    <w:rsid w:val="45C41F85"/>
    <w:rsid w:val="45D36BBB"/>
    <w:rsid w:val="45DA4C4B"/>
    <w:rsid w:val="46020A77"/>
    <w:rsid w:val="461D4A97"/>
    <w:rsid w:val="4642363C"/>
    <w:rsid w:val="46591B06"/>
    <w:rsid w:val="46681314"/>
    <w:rsid w:val="46C65063"/>
    <w:rsid w:val="46E32673"/>
    <w:rsid w:val="470518CB"/>
    <w:rsid w:val="471D243C"/>
    <w:rsid w:val="477C2455"/>
    <w:rsid w:val="47FC6227"/>
    <w:rsid w:val="4802235F"/>
    <w:rsid w:val="485149CD"/>
    <w:rsid w:val="48DD08C5"/>
    <w:rsid w:val="48F30D3D"/>
    <w:rsid w:val="49221654"/>
    <w:rsid w:val="493E207A"/>
    <w:rsid w:val="49471290"/>
    <w:rsid w:val="49B16491"/>
    <w:rsid w:val="49E75DBF"/>
    <w:rsid w:val="4A1B3C83"/>
    <w:rsid w:val="4AE47087"/>
    <w:rsid w:val="4B6541A4"/>
    <w:rsid w:val="4B821692"/>
    <w:rsid w:val="4B9E2EE3"/>
    <w:rsid w:val="4BA62863"/>
    <w:rsid w:val="4BDF3F6E"/>
    <w:rsid w:val="4BE0608A"/>
    <w:rsid w:val="4BF06BDD"/>
    <w:rsid w:val="4C484637"/>
    <w:rsid w:val="4C690434"/>
    <w:rsid w:val="4C9065ED"/>
    <w:rsid w:val="4CAA6322"/>
    <w:rsid w:val="4D3D70AE"/>
    <w:rsid w:val="4D5E6ED9"/>
    <w:rsid w:val="4D87670D"/>
    <w:rsid w:val="4DAF7402"/>
    <w:rsid w:val="4DB846BD"/>
    <w:rsid w:val="4DC06986"/>
    <w:rsid w:val="4DC67027"/>
    <w:rsid w:val="4E2912CA"/>
    <w:rsid w:val="4E377AA9"/>
    <w:rsid w:val="4E3D4066"/>
    <w:rsid w:val="4E581E19"/>
    <w:rsid w:val="4E7116BE"/>
    <w:rsid w:val="4E7E31BB"/>
    <w:rsid w:val="4E811958"/>
    <w:rsid w:val="4EAC3E74"/>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2F11B2B"/>
    <w:rsid w:val="53287BFD"/>
    <w:rsid w:val="535A7779"/>
    <w:rsid w:val="53A54E0C"/>
    <w:rsid w:val="53E030A9"/>
    <w:rsid w:val="55876FC0"/>
    <w:rsid w:val="55BD147F"/>
    <w:rsid w:val="55E15F51"/>
    <w:rsid w:val="56291CEA"/>
    <w:rsid w:val="56B22127"/>
    <w:rsid w:val="57137BBD"/>
    <w:rsid w:val="57293FF9"/>
    <w:rsid w:val="57D0757A"/>
    <w:rsid w:val="58342F28"/>
    <w:rsid w:val="58614E3B"/>
    <w:rsid w:val="5878525E"/>
    <w:rsid w:val="588E3981"/>
    <w:rsid w:val="58940F50"/>
    <w:rsid w:val="58E943C6"/>
    <w:rsid w:val="59194FF3"/>
    <w:rsid w:val="594C2058"/>
    <w:rsid w:val="599D6213"/>
    <w:rsid w:val="59D5303F"/>
    <w:rsid w:val="59DE0E81"/>
    <w:rsid w:val="5A35536E"/>
    <w:rsid w:val="5A4D36B3"/>
    <w:rsid w:val="5A990128"/>
    <w:rsid w:val="5B224A68"/>
    <w:rsid w:val="5B261AA8"/>
    <w:rsid w:val="5B6F0845"/>
    <w:rsid w:val="5BC449ED"/>
    <w:rsid w:val="5C12247E"/>
    <w:rsid w:val="5C19785A"/>
    <w:rsid w:val="5C7E560B"/>
    <w:rsid w:val="5CB731C6"/>
    <w:rsid w:val="5D126C47"/>
    <w:rsid w:val="5D452069"/>
    <w:rsid w:val="5D960404"/>
    <w:rsid w:val="5DB73614"/>
    <w:rsid w:val="5F4D6FE9"/>
    <w:rsid w:val="5F777E2D"/>
    <w:rsid w:val="5FEA04C5"/>
    <w:rsid w:val="60683A88"/>
    <w:rsid w:val="61436DAE"/>
    <w:rsid w:val="61A04AD5"/>
    <w:rsid w:val="61F74F7D"/>
    <w:rsid w:val="6212532B"/>
    <w:rsid w:val="627444BC"/>
    <w:rsid w:val="62D665B5"/>
    <w:rsid w:val="62E83F51"/>
    <w:rsid w:val="633E2577"/>
    <w:rsid w:val="63AD2564"/>
    <w:rsid w:val="63F5795B"/>
    <w:rsid w:val="63F97611"/>
    <w:rsid w:val="64655269"/>
    <w:rsid w:val="646B1ECF"/>
    <w:rsid w:val="646B6AF5"/>
    <w:rsid w:val="648D429C"/>
    <w:rsid w:val="67236BC5"/>
    <w:rsid w:val="67421678"/>
    <w:rsid w:val="67AD5FAB"/>
    <w:rsid w:val="67E049F9"/>
    <w:rsid w:val="68B7343F"/>
    <w:rsid w:val="68D827BB"/>
    <w:rsid w:val="69634EFA"/>
    <w:rsid w:val="69C45E93"/>
    <w:rsid w:val="6A027B6C"/>
    <w:rsid w:val="6A0D62A7"/>
    <w:rsid w:val="6A465168"/>
    <w:rsid w:val="6A902988"/>
    <w:rsid w:val="6AC95741"/>
    <w:rsid w:val="6B491513"/>
    <w:rsid w:val="6C206D03"/>
    <w:rsid w:val="6CAC2460"/>
    <w:rsid w:val="6D667622"/>
    <w:rsid w:val="6DBA1CB4"/>
    <w:rsid w:val="6E114EEB"/>
    <w:rsid w:val="6E147427"/>
    <w:rsid w:val="6E885E6B"/>
    <w:rsid w:val="6EA9791B"/>
    <w:rsid w:val="6F1351D1"/>
    <w:rsid w:val="6F742AF2"/>
    <w:rsid w:val="6FE13B94"/>
    <w:rsid w:val="6FEA5F4A"/>
    <w:rsid w:val="6FF41EBB"/>
    <w:rsid w:val="702D3EF9"/>
    <w:rsid w:val="702E2F9A"/>
    <w:rsid w:val="704509C1"/>
    <w:rsid w:val="704B327F"/>
    <w:rsid w:val="716B0135"/>
    <w:rsid w:val="71CE6D1D"/>
    <w:rsid w:val="71D21B21"/>
    <w:rsid w:val="7204769A"/>
    <w:rsid w:val="723C5B16"/>
    <w:rsid w:val="72452437"/>
    <w:rsid w:val="725A39AC"/>
    <w:rsid w:val="731A4C66"/>
    <w:rsid w:val="734C5C19"/>
    <w:rsid w:val="73A103C3"/>
    <w:rsid w:val="73E94E79"/>
    <w:rsid w:val="74237697"/>
    <w:rsid w:val="74484054"/>
    <w:rsid w:val="747C21C8"/>
    <w:rsid w:val="750C7615"/>
    <w:rsid w:val="75463962"/>
    <w:rsid w:val="756B0CB3"/>
    <w:rsid w:val="75797FFF"/>
    <w:rsid w:val="76846FE7"/>
    <w:rsid w:val="769969FA"/>
    <w:rsid w:val="77110C43"/>
    <w:rsid w:val="77296694"/>
    <w:rsid w:val="773E49D2"/>
    <w:rsid w:val="776E2095"/>
    <w:rsid w:val="778326A3"/>
    <w:rsid w:val="77DE719F"/>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link w:val="194"/>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2"/>
    <w:autoRedefine/>
    <w:qFormat/>
    <w:uiPriority w:val="9"/>
    <w:rPr>
      <w:rFonts w:asciiTheme="majorHAnsi" w:hAnsiTheme="majorHAnsi" w:eastAsiaTheme="majorEastAsia" w:cstheme="majorBidi"/>
      <w:b/>
      <w:bCs/>
      <w:color w:val="376092" w:themeColor="accent1" w:themeShade="BF"/>
      <w:sz w:val="28"/>
      <w:szCs w:val="28"/>
      <w:lang w:eastAsia="en-US"/>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basedOn w:val="3"/>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 w:type="table" w:customStyle="1" w:styleId="358">
    <w:name w:val="_Style 46"/>
    <w:basedOn w:val="359"/>
    <w:qFormat/>
    <w:uiPriority w:val="0"/>
    <w:tblPr>
      <w:tblCellMar>
        <w:top w:w="100" w:type="dxa"/>
        <w:left w:w="100" w:type="dxa"/>
        <w:bottom w:w="100" w:type="dxa"/>
        <w:right w:w="100" w:type="dxa"/>
      </w:tblCellMar>
    </w:tblPr>
  </w:style>
  <w:style w:type="table" w:customStyle="1" w:styleId="359">
    <w:name w:val="TableNormal"/>
    <w:qFormat/>
    <w:uiPriority w:val="0"/>
    <w:tblPr>
      <w:tblCellMar>
        <w:top w:w="100" w:type="dxa"/>
        <w:left w:w="100" w:type="dxa"/>
        <w:bottom w:w="100" w:type="dxa"/>
        <w:right w:w="100" w:type="dxa"/>
      </w:tblCellMar>
    </w:tblPr>
  </w:style>
  <w:style w:type="table" w:customStyle="1" w:styleId="360">
    <w:name w:val="_Style 42"/>
    <w:basedOn w:val="359"/>
    <w:qFormat/>
    <w:uiPriority w:val="0"/>
    <w:tblPr>
      <w:tblCellMar>
        <w:top w:w="0" w:type="dxa"/>
        <w:left w:w="115" w:type="dxa"/>
        <w:bottom w:w="0" w:type="dxa"/>
        <w:right w:w="115" w:type="dxa"/>
      </w:tblCellMar>
    </w:tblPr>
  </w:style>
  <w:style w:type="table" w:customStyle="1" w:styleId="361">
    <w:name w:val="_Style 51"/>
    <w:basedOn w:val="359"/>
    <w:qFormat/>
    <w:uiPriority w:val="0"/>
    <w:tblPr>
      <w:tblCellMar>
        <w:top w:w="0" w:type="dxa"/>
        <w:left w:w="108" w:type="dxa"/>
        <w:bottom w:w="0" w:type="dxa"/>
        <w:right w:w="108" w:type="dxa"/>
      </w:tblCellMar>
    </w:tblPr>
  </w:style>
  <w:style w:type="table" w:customStyle="1" w:styleId="362">
    <w:name w:val="_Style 55"/>
    <w:basedOn w:val="35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18696</Words>
  <Characters>100959</Characters>
  <Lines>841</Lines>
  <Paragraphs>238</Paragraphs>
  <TotalTime>20</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2025-11-14T13:52:00Z</cp:lastPrinted>
  <dcterms:modified xsi:type="dcterms:W3CDTF">2026-02-06T16:53:15Z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FC22D198726247A6AECF7B78519B32B0_13</vt:lpwstr>
  </property>
</Properties>
</file>